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76"/>
        <w:jc w:val="center"/>
        <w:rPr>
          <w:b/>
          <w:b/>
          <w:bCs/>
          <w:color w:val="0000CC"/>
          <w:sz w:val="22"/>
          <w:szCs w:val="22"/>
        </w:rPr>
      </w:pPr>
      <w:r>
        <w:rPr>
          <w:b/>
          <w:bCs/>
          <w:sz w:val="22"/>
          <w:szCs w:val="22"/>
        </w:rPr>
        <w:t xml:space="preserve">FIȘA MĂSURII </w:t>
      </w:r>
      <w:r>
        <w:rPr>
          <w:b/>
          <w:bCs/>
          <w:color w:val="5F497A" w:themeColor="accent4" w:themeShade="bf"/>
          <w:sz w:val="22"/>
          <w:szCs w:val="22"/>
        </w:rPr>
        <w:t>M 3.1.</w:t>
      </w:r>
    </w:p>
    <w:p>
      <w:pPr>
        <w:pStyle w:val="Default"/>
        <w:spacing w:lineRule="auto" w:line="276"/>
        <w:jc w:val="center"/>
        <w:rPr>
          <w:sz w:val="22"/>
          <w:szCs w:val="22"/>
        </w:rPr>
      </w:pPr>
      <w:r>
        <w:rPr>
          <w:sz w:val="22"/>
          <w:szCs w:val="22"/>
        </w:rPr>
      </w:r>
    </w:p>
    <w:p>
      <w:pPr>
        <w:pStyle w:val="Default"/>
        <w:spacing w:lineRule="auto" w:line="276"/>
        <w:jc w:val="both"/>
        <w:rPr>
          <w:sz w:val="22"/>
          <w:szCs w:val="22"/>
        </w:rPr>
      </w:pPr>
      <w:r>
        <w:rPr>
          <w:b/>
          <w:bCs/>
          <w:sz w:val="22"/>
          <w:szCs w:val="22"/>
        </w:rPr>
        <w:t xml:space="preserve">Denumirea măsurii: </w:t>
      </w:r>
      <w:r>
        <w:rPr>
          <w:b/>
          <w:bCs/>
          <w:i/>
          <w:iCs/>
          <w:color w:val="808080"/>
          <w:sz w:val="22"/>
          <w:szCs w:val="22"/>
        </w:rPr>
        <w:t>„Dezvoltarea activităților non-agricole în teritoriul GAL”</w:t>
      </w:r>
    </w:p>
    <w:p>
      <w:pPr>
        <w:pStyle w:val="Default"/>
        <w:spacing w:lineRule="auto" w:line="276"/>
        <w:jc w:val="both"/>
        <w:rPr>
          <w:sz w:val="22"/>
          <w:szCs w:val="22"/>
        </w:rPr>
      </w:pPr>
      <w:r>
        <w:rPr>
          <w:b/>
          <w:bCs/>
          <w:sz w:val="22"/>
          <w:szCs w:val="22"/>
        </w:rPr>
        <w:t xml:space="preserve">CODUL Măsurii: </w:t>
      </w:r>
      <w:r>
        <w:rPr>
          <w:b/>
          <w:bCs/>
          <w:color w:val="5F497A" w:themeColor="accent4" w:themeShade="bf"/>
          <w:sz w:val="22"/>
          <w:szCs w:val="22"/>
        </w:rPr>
        <w:t>M 3.1.</w:t>
      </w:r>
      <w:r>
        <w:rPr>
          <w:b/>
          <w:bCs/>
          <w:sz w:val="22"/>
          <w:szCs w:val="22"/>
        </w:rPr>
        <w:t xml:space="preserve"> </w:t>
      </w:r>
    </w:p>
    <w:p>
      <w:pPr>
        <w:pStyle w:val="Default"/>
        <w:spacing w:lineRule="auto" w:line="276"/>
        <w:jc w:val="both"/>
        <w:rPr>
          <w:sz w:val="22"/>
          <w:szCs w:val="22"/>
        </w:rPr>
      </w:pPr>
      <w:r>
        <w:rPr>
          <w:b/>
          <w:bCs/>
          <w:sz w:val="22"/>
          <w:szCs w:val="22"/>
          <w:lang w:val="en-US"/>
        </w:rPr>
        <w:t>M</w:t>
      </w:r>
      <w:r>
        <w:rPr>
          <w:b/>
          <w:bCs/>
          <w:sz w:val="22"/>
          <w:szCs w:val="22"/>
        </w:rPr>
        <w:t xml:space="preserve">ăsura / DI: </w:t>
      </w:r>
      <w:r>
        <w:rPr>
          <w:b/>
          <w:bCs/>
          <w:color w:val="5F497A" w:themeColor="accent4" w:themeShade="bf"/>
          <w:sz w:val="22"/>
          <w:szCs w:val="22"/>
        </w:rPr>
        <w:t>M 3.1.</w:t>
      </w:r>
      <w:r>
        <w:rPr>
          <w:b/>
          <w:bCs/>
          <w:sz w:val="22"/>
          <w:szCs w:val="22"/>
        </w:rPr>
        <w:t xml:space="preserve"> / </w:t>
      </w:r>
      <w:r>
        <w:rPr>
          <w:b/>
          <w:bCs/>
          <w:color w:val="403152" w:themeColor="accent4" w:themeShade="80"/>
          <w:sz w:val="22"/>
          <w:szCs w:val="22"/>
        </w:rPr>
        <w:t>6A</w:t>
      </w:r>
    </w:p>
    <w:p>
      <w:pPr>
        <w:pStyle w:val="Default"/>
        <w:spacing w:lineRule="auto" w:line="276"/>
        <w:jc w:val="both"/>
        <w:rPr>
          <w:b/>
          <w:b/>
          <w:bCs/>
          <w:sz w:val="22"/>
          <w:szCs w:val="22"/>
        </w:rPr>
      </w:pPr>
      <w:r>
        <w:rPr>
          <w:b/>
          <w:bCs/>
          <w:sz w:val="22"/>
          <w:szCs w:val="22"/>
        </w:rPr>
        <w:t xml:space="preserve">Tipul măsurii: </w:t>
        <w:tab/>
        <w:t xml:space="preserve">× INVESTIȚII </w:t>
      </w:r>
    </w:p>
    <w:p>
      <w:pPr>
        <w:pStyle w:val="Default"/>
        <w:spacing w:lineRule="auto" w:line="276"/>
        <w:ind w:left="1440" w:firstLine="720"/>
        <w:jc w:val="both"/>
        <w:rPr>
          <w:sz w:val="22"/>
          <w:szCs w:val="22"/>
        </w:rPr>
      </w:pPr>
      <w:r>
        <w:rPr>
          <w:rFonts w:eastAsia="Trebuchet MS"/>
          <w:sz w:val="22"/>
          <w:szCs w:val="22"/>
        </w:rPr>
        <w:t xml:space="preserve">□  </w:t>
      </w:r>
      <w:r>
        <w:rPr>
          <w:sz w:val="22"/>
          <w:szCs w:val="22"/>
        </w:rPr>
        <w:t xml:space="preserve">SERVICII </w:t>
      </w:r>
    </w:p>
    <w:p>
      <w:pPr>
        <w:pStyle w:val="Default"/>
        <w:spacing w:lineRule="auto" w:line="276"/>
        <w:ind w:left="1440" w:firstLine="720"/>
        <w:jc w:val="both"/>
        <w:rPr>
          <w:sz w:val="22"/>
          <w:szCs w:val="22"/>
        </w:rPr>
      </w:pPr>
      <w:r>
        <w:rPr>
          <w:rFonts w:eastAsia="Trebuchet MS"/>
          <w:b/>
          <w:bCs/>
          <w:sz w:val="22"/>
          <w:szCs w:val="22"/>
        </w:rPr>
        <w:t xml:space="preserve">□  </w:t>
      </w:r>
      <w:r>
        <w:rPr>
          <w:sz w:val="22"/>
          <w:szCs w:val="22"/>
        </w:rPr>
        <w:t xml:space="preserve">SPRIJIN FORFETAR </w:t>
      </w:r>
    </w:p>
    <w:p>
      <w:pPr>
        <w:pStyle w:val="Default"/>
        <w:shd w:val="clear" w:color="auto" w:fill="E5DFEC" w:themeFill="accent4" w:themeFillTint="33"/>
        <w:spacing w:lineRule="auto" w:line="276"/>
        <w:jc w:val="both"/>
        <w:rPr>
          <w:b/>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pPr>
        <w:pStyle w:val="Default"/>
        <w:spacing w:lineRule="auto" w:line="276"/>
        <w:jc w:val="both"/>
        <w:rPr>
          <w:sz w:val="22"/>
          <w:szCs w:val="22"/>
        </w:rPr>
      </w:pPr>
      <w:r>
        <w:rPr>
          <w:b/>
          <w:bCs/>
          <w:sz w:val="22"/>
          <w:szCs w:val="22"/>
        </w:rPr>
        <w:t>1.1. Scurtă justificare și corelare cu analiza SWOT</w:t>
      </w:r>
    </w:p>
    <w:p>
      <w:pPr>
        <w:pStyle w:val="Default"/>
        <w:spacing w:lineRule="auto" w:line="276"/>
        <w:jc w:val="both"/>
        <w:rPr>
          <w:sz w:val="22"/>
          <w:szCs w:val="22"/>
        </w:rPr>
      </w:pPr>
      <w:r>
        <w:rPr>
          <w:rFonts w:cs="Arial"/>
          <w:sz w:val="22"/>
          <w:szCs w:val="22"/>
        </w:rPr>
        <w:t xml:space="preserve">În prezent există disparități profunde între teritoriul </w:t>
      </w:r>
      <w:r>
        <w:rPr>
          <w:rFonts w:cs="Calibri"/>
          <w:bCs/>
          <w:iCs/>
          <w:color w:val="0000CC"/>
          <w:sz w:val="22"/>
          <w:szCs w:val="22"/>
          <w:lang w:eastAsia="ro-RO"/>
        </w:rPr>
        <w:t xml:space="preserve">GAL </w:t>
      </w:r>
      <w:r>
        <w:rPr>
          <w:rFonts w:cs="Arial"/>
          <w:sz w:val="22"/>
          <w:szCs w:val="22"/>
        </w:rPr>
        <w:t xml:space="preserve">și zonele urbane în ceea ce privește mediul de afaceri, ca urmare a slabei dezvoltări a infrastructurii, a lipsei resurselor financiare și a nivelului redus de pregătire antreprenorială. </w:t>
      </w:r>
    </w:p>
    <w:p>
      <w:pPr>
        <w:pStyle w:val="Normal"/>
        <w:spacing w:before="0" w:after="0"/>
        <w:jc w:val="both"/>
        <w:rPr>
          <w:rFonts w:ascii="Trebuchet MS" w:hAnsi="Trebuchet MS"/>
          <w:sz w:val="22"/>
          <w:szCs w:val="22"/>
        </w:rPr>
      </w:pPr>
      <w:r>
        <w:rPr>
          <w:rFonts w:ascii="Trebuchet MS" w:hAnsi="Trebuchet MS"/>
          <w:sz w:val="22"/>
          <w:szCs w:val="22"/>
        </w:rPr>
        <w:t>Analiza teritoriului a relevat o slabă dezvoltare a mediului de afaceri,</w:t>
      </w:r>
      <w:r>
        <w:rPr>
          <w:rFonts w:cs="Arial" w:ascii="Trebuchet MS" w:hAnsi="Trebuchet MS"/>
          <w:sz w:val="22"/>
          <w:szCs w:val="22"/>
        </w:rPr>
        <w:t xml:space="preserve"> determinată de numărul redus al întreprinderilor existente, canalizarea acestora cu preponderență către comerț și o reprezentare redusă a sectorului de servicii și a industriei prelucrătoare. Acest aspect atrage după sine o capacitate redusă a teritoriului de a asigura necesarul de locuri de muncă pentru forța de muncă existentă, ceea ce determină, conform indicatorilor analizați, o migrare a persoanelor active către centrele urbane sau către alte state membre ale Uniunii Europene.</w:t>
      </w:r>
    </w:p>
    <w:p>
      <w:pPr>
        <w:pStyle w:val="Normal"/>
        <w:spacing w:before="0" w:after="0"/>
        <w:jc w:val="both"/>
        <w:rPr>
          <w:rFonts w:ascii="Trebuchet MS" w:hAnsi="Trebuchet MS"/>
          <w:sz w:val="22"/>
          <w:szCs w:val="22"/>
        </w:rPr>
      </w:pPr>
      <w:r>
        <w:rPr>
          <w:rFonts w:cs="Arial" w:ascii="Trebuchet MS" w:hAnsi="Trebuchet MS"/>
          <w:sz w:val="22"/>
          <w:szCs w:val="22"/>
        </w:rPr>
        <w:t>Astfel, analiza întreprinderilor de la nivelul teritoriului a evidențiat o capacitate redusă (o  medie de 5 locuri de muncă/întreprindere) a acestora de a răspunde necesității de a furniza locuri de muncă pentru populația existentă.</w:t>
      </w:r>
    </w:p>
    <w:p>
      <w:pPr>
        <w:pStyle w:val="Default"/>
        <w:spacing w:lineRule="auto" w:line="276"/>
        <w:jc w:val="both"/>
        <w:rPr>
          <w:sz w:val="22"/>
          <w:szCs w:val="22"/>
        </w:rPr>
      </w:pPr>
      <w:r>
        <w:rPr>
          <w:rFonts w:cs="Arial"/>
          <w:sz w:val="22"/>
          <w:szCs w:val="22"/>
        </w:rPr>
        <w:t>Prin sprijinul pus la dispoziție prin intermediul prezentei sub-măsuri se urmărește rezolvarea problemelor identificate în mediul de afaceri local, prin crearea premiselor necesare favorizării multiplicării și a dezvoltării activităților non-agricole desfășurate de către agenții economici în cadrul teritoriului.</w:t>
      </w:r>
    </w:p>
    <w:p>
      <w:pPr>
        <w:pStyle w:val="Default"/>
        <w:spacing w:lineRule="auto" w:line="276"/>
        <w:jc w:val="both"/>
        <w:rPr>
          <w:sz w:val="22"/>
          <w:szCs w:val="22"/>
        </w:rPr>
      </w:pPr>
      <w:r>
        <w:rPr>
          <w:b/>
          <w:bCs/>
          <w:sz w:val="22"/>
          <w:szCs w:val="22"/>
        </w:rPr>
        <w:t xml:space="preserve">1.2. Obiectiv(e) de dezvoltare rurală: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pPr>
        <w:pStyle w:val="Default"/>
        <w:spacing w:lineRule="auto" w:line="276"/>
        <w:jc w:val="both"/>
        <w:rPr>
          <w:sz w:val="22"/>
          <w:szCs w:val="22"/>
        </w:rPr>
      </w:pPr>
      <w:r>
        <w:rPr>
          <w:b/>
          <w:bCs/>
          <w:sz w:val="22"/>
          <w:szCs w:val="22"/>
        </w:rPr>
        <w:t xml:space="preserve">1.3. Obiectiv(e) specific(e) al(e) măsurii </w:t>
      </w:r>
      <w:r>
        <w:rPr>
          <w:b/>
          <w:bCs/>
          <w:color w:val="5F497A" w:themeColor="accent4" w:themeShade="bf"/>
          <w:sz w:val="22"/>
          <w:szCs w:val="22"/>
        </w:rPr>
        <w:t>M 3.1.:</w:t>
      </w:r>
      <w:r>
        <w:rPr>
          <w:b/>
          <w:bCs/>
          <w:sz w:val="22"/>
          <w:szCs w:val="22"/>
        </w:rPr>
        <w:t xml:space="preserve"> </w:t>
      </w:r>
      <w:r>
        <w:rPr>
          <w:b/>
          <w:bCs/>
          <w:i/>
          <w:iCs/>
          <w:color w:val="808080"/>
          <w:sz w:val="22"/>
          <w:szCs w:val="22"/>
          <w:lang w:val="en-US"/>
        </w:rPr>
        <w:t>Cre</w:t>
      </w:r>
      <w:r>
        <w:rPr>
          <w:b/>
          <w:bCs/>
          <w:i/>
          <w:iCs/>
          <w:color w:val="808080"/>
          <w:sz w:val="22"/>
          <w:szCs w:val="22"/>
        </w:rPr>
        <w:t>șterea numărului de întreprinder</w:t>
      </w:r>
      <w:r>
        <w:rPr>
          <w:b/>
          <w:bCs/>
          <w:i/>
          <w:iCs/>
          <w:color w:val="808080"/>
          <w:sz w:val="22"/>
          <w:szCs w:val="22"/>
          <w:lang w:val="en-US"/>
        </w:rPr>
        <w:t>i ce desf</w:t>
      </w:r>
      <w:r>
        <w:rPr>
          <w:b/>
          <w:bCs/>
          <w:i/>
          <w:iCs/>
          <w:color w:val="808080"/>
          <w:sz w:val="22"/>
          <w:szCs w:val="22"/>
        </w:rPr>
        <w:t>ășoară activități non-agricole; Diversificarea activităților non-gricole desfășurate în teritoriu</w:t>
      </w:r>
      <w:r>
        <w:rPr>
          <w:b/>
          <w:bCs/>
          <w:i/>
          <w:iCs/>
          <w:color w:val="808080"/>
          <w:sz w:val="22"/>
          <w:szCs w:val="22"/>
          <w:lang w:val="en-US"/>
        </w:rPr>
        <w:t>;</w:t>
      </w:r>
      <w:r>
        <w:rPr>
          <w:sz w:val="22"/>
          <w:szCs w:val="22"/>
        </w:rPr>
        <w:t xml:space="preserve"> </w:t>
      </w:r>
      <w:r>
        <w:rPr>
          <w:b/>
          <w:bCs/>
          <w:i/>
          <w:iCs/>
          <w:color w:val="808080"/>
          <w:sz w:val="22"/>
          <w:szCs w:val="22"/>
          <w:lang w:val="en-US"/>
        </w:rPr>
        <w:t>Stimularea ini</w:t>
      </w:r>
      <w:r>
        <w:rPr>
          <w:b/>
          <w:bCs/>
          <w:i/>
          <w:iCs/>
          <w:color w:val="808080"/>
          <w:sz w:val="22"/>
          <w:szCs w:val="22"/>
        </w:rPr>
        <w:t>țiativelor antreprenoriale;</w:t>
      </w:r>
      <w:r>
        <w:rPr>
          <w:sz w:val="22"/>
          <w:szCs w:val="22"/>
        </w:rPr>
        <w:t xml:space="preserve"> </w:t>
      </w:r>
      <w:r>
        <w:rPr>
          <w:b/>
          <w:bCs/>
          <w:i/>
          <w:iCs/>
          <w:color w:val="808080"/>
          <w:sz w:val="22"/>
          <w:szCs w:val="22"/>
          <w:lang w:val="en-US"/>
        </w:rPr>
        <w:t>Crearea de noi locuri de munc</w:t>
      </w:r>
      <w:r>
        <w:rPr>
          <w:b/>
          <w:bCs/>
          <w:i/>
          <w:iCs/>
          <w:color w:val="808080"/>
          <w:sz w:val="22"/>
          <w:szCs w:val="22"/>
        </w:rPr>
        <w:t>ă și menținerea celor existente în localitățile din teritoriu;</w:t>
      </w:r>
      <w:r>
        <w:rPr>
          <w:sz w:val="22"/>
          <w:szCs w:val="22"/>
        </w:rPr>
        <w:t xml:space="preserve"> </w:t>
      </w:r>
      <w:r>
        <w:rPr>
          <w:b/>
          <w:bCs/>
          <w:i/>
          <w:iCs/>
          <w:color w:val="808080"/>
          <w:sz w:val="22"/>
          <w:szCs w:val="22"/>
          <w:lang w:val="en-US"/>
        </w:rPr>
        <w:t>Reducerea migra</w:t>
      </w:r>
      <w:r>
        <w:rPr>
          <w:b/>
          <w:bCs/>
          <w:i/>
          <w:iCs/>
          <w:color w:val="808080"/>
          <w:sz w:val="22"/>
          <w:szCs w:val="22"/>
        </w:rPr>
        <w:t>ției forței de muncă existente la nivelul teritoriului;</w:t>
      </w:r>
      <w:r>
        <w:rPr>
          <w:sz w:val="22"/>
          <w:szCs w:val="22"/>
        </w:rPr>
        <w:t xml:space="preserve"> </w:t>
      </w:r>
      <w:r>
        <w:rPr>
          <w:b/>
          <w:bCs/>
          <w:i/>
          <w:iCs/>
          <w:color w:val="808080"/>
          <w:sz w:val="22"/>
          <w:szCs w:val="22"/>
        </w:rPr>
        <w:t>Creșterea valorii adăugate în activități non-agricole și de turism;</w:t>
      </w:r>
      <w:r>
        <w:rPr>
          <w:sz w:val="22"/>
          <w:szCs w:val="22"/>
        </w:rPr>
        <w:t xml:space="preserve"> </w:t>
      </w:r>
      <w:r>
        <w:rPr>
          <w:b/>
          <w:bCs/>
          <w:i/>
          <w:iCs/>
          <w:color w:val="808080"/>
          <w:sz w:val="22"/>
          <w:szCs w:val="22"/>
        </w:rPr>
        <w:t>Crearea și diversificarea serviciilor pentru populația rurală prestate de către micro-întreprinderi.</w:t>
      </w:r>
      <w:r>
        <w:rPr>
          <w:sz w:val="22"/>
          <w:szCs w:val="22"/>
        </w:rPr>
        <w:t xml:space="preserve"> </w:t>
      </w:r>
      <w:r>
        <w:rPr>
          <w:b/>
          <w:bCs/>
          <w:i/>
          <w:iCs/>
          <w:color w:val="808080"/>
          <w:sz w:val="22"/>
          <w:szCs w:val="22"/>
        </w:rPr>
        <w:t>Crearea, îmbunătățirea și diversificarea infrastructurii și serviciilor turistice.</w:t>
      </w:r>
    </w:p>
    <w:p>
      <w:pPr>
        <w:pStyle w:val="Default"/>
        <w:spacing w:lineRule="auto" w:line="276"/>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pPr>
        <w:pStyle w:val="Default"/>
        <w:spacing w:lineRule="auto" w:line="276"/>
        <w:jc w:val="both"/>
        <w:rPr>
          <w:b/>
          <w:b/>
          <w:bCs/>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1</w:t>
      </w:r>
      <w:r>
        <w:rPr>
          <w:b/>
          <w:bCs/>
          <w:color w:val="808080"/>
          <w:sz w:val="22"/>
          <w:szCs w:val="22"/>
          <w:lang w:val="en-US"/>
        </w:rPr>
        <w:t>9</w:t>
      </w:r>
      <w:r>
        <w:rPr>
          <w:b/>
          <w:bCs/>
          <w:color w:val="31849B"/>
          <w:sz w:val="22"/>
          <w:szCs w:val="22"/>
        </w:rPr>
        <w:t xml:space="preserve"> </w:t>
      </w:r>
      <w:r>
        <w:rPr>
          <w:b/>
          <w:bCs/>
          <w:sz w:val="22"/>
          <w:szCs w:val="22"/>
        </w:rPr>
        <w:t xml:space="preserve">din Reg. (UE) nr. 1305/2013 </w:t>
      </w:r>
    </w:p>
    <w:p>
      <w:pPr>
        <w:pStyle w:val="Default"/>
        <w:spacing w:lineRule="auto" w:line="276"/>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6A) Facilitarea diversificării, a înființării și a dezvoltării de întreprinderi mici, precum și crearea de locuri de muncă.</w:t>
      </w:r>
    </w:p>
    <w:p>
      <w:pPr>
        <w:pStyle w:val="Default"/>
        <w:spacing w:lineRule="auto" w:line="276"/>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color w:val="808080"/>
          <w:sz w:val="22"/>
          <w:szCs w:val="22"/>
        </w:rPr>
        <w:t>.</w:t>
      </w:r>
    </w:p>
    <w:p>
      <w:pPr>
        <w:pStyle w:val="Default"/>
        <w:spacing w:lineRule="auto" w:line="276"/>
        <w:jc w:val="both"/>
        <w:rPr>
          <w:sz w:val="22"/>
          <w:szCs w:val="22"/>
        </w:rPr>
      </w:pPr>
      <w:r>
        <w:rPr>
          <w:b/>
          <w:bCs/>
          <w:sz w:val="22"/>
          <w:szCs w:val="22"/>
        </w:rPr>
        <w:t xml:space="preserve">1.8. Complementaritatea cu alte măsuri din SDL: </w:t>
      </w:r>
      <w:r>
        <w:rPr>
          <w:color w:val="808080"/>
          <w:sz w:val="22"/>
          <w:szCs w:val="22"/>
        </w:rPr>
        <w:t xml:space="preserve">- </w:t>
      </w:r>
      <w:r>
        <w:rPr>
          <w:color w:val="FF3333"/>
          <w:sz w:val="22"/>
          <w:szCs w:val="22"/>
        </w:rPr>
        <w:t xml:space="preserve"> </w:t>
      </w:r>
    </w:p>
    <w:p>
      <w:pPr>
        <w:pStyle w:val="Default"/>
        <w:spacing w:lineRule="auto" w:line="276"/>
        <w:jc w:val="both"/>
        <w:rPr>
          <w:sz w:val="22"/>
          <w:szCs w:val="22"/>
        </w:rPr>
      </w:pPr>
      <w:r>
        <w:rPr>
          <w:b/>
          <w:bCs/>
          <w:sz w:val="22"/>
          <w:szCs w:val="22"/>
        </w:rPr>
        <w:t>1.9. Sinergia cu alte măsuri din SDL:</w:t>
      </w:r>
      <w:r>
        <w:rPr>
          <w:sz w:val="22"/>
          <w:szCs w:val="22"/>
        </w:rPr>
        <w:t xml:space="preserve"> </w:t>
      </w:r>
      <w:r>
        <w:rPr>
          <w:b/>
          <w:bCs/>
          <w:color w:val="808080"/>
          <w:sz w:val="22"/>
          <w:szCs w:val="22"/>
        </w:rPr>
        <w:t>M3</w:t>
      </w:r>
      <w:r>
        <w:rPr>
          <w:b/>
          <w:bCs/>
          <w:color w:val="808080"/>
          <w:sz w:val="22"/>
          <w:szCs w:val="22"/>
          <w:lang w:val="en-US"/>
        </w:rPr>
        <w:t>.2.</w:t>
      </w:r>
      <w:r>
        <w:rPr>
          <w:b/>
          <w:bCs/>
          <w:color w:val="808080"/>
          <w:sz w:val="22"/>
          <w:szCs w:val="22"/>
        </w:rPr>
        <w:t>, M3</w:t>
      </w:r>
      <w:r>
        <w:rPr>
          <w:b/>
          <w:bCs/>
          <w:color w:val="808080"/>
          <w:sz w:val="22"/>
          <w:szCs w:val="22"/>
          <w:lang w:val="en-US"/>
        </w:rPr>
        <w:t>.3.</w:t>
      </w:r>
      <w:r>
        <w:rPr>
          <w:b/>
          <w:bCs/>
          <w:color w:val="808080"/>
          <w:sz w:val="22"/>
          <w:szCs w:val="22"/>
        </w:rPr>
        <w:t>, M3</w:t>
      </w:r>
      <w:r>
        <w:rPr>
          <w:b/>
          <w:bCs/>
          <w:color w:val="808080"/>
          <w:sz w:val="22"/>
          <w:szCs w:val="22"/>
          <w:lang w:val="en-US"/>
        </w:rPr>
        <w:t xml:space="preserve">.4 </w:t>
      </w:r>
      <w:r>
        <w:rPr>
          <w:b/>
          <w:bCs/>
          <w:color w:val="808080"/>
          <w:sz w:val="22"/>
          <w:szCs w:val="22"/>
        </w:rPr>
        <w:t>(DI 6B)</w:t>
      </w:r>
    </w:p>
    <w:p>
      <w:pPr>
        <w:pStyle w:val="Normal"/>
        <w:shd w:val="clear" w:color="auto" w:fill="E5DFEC" w:themeFill="accent4" w:themeFillTint="33"/>
        <w:spacing w:before="0" w:after="0"/>
        <w:jc w:val="both"/>
        <w:rPr>
          <w:rFonts w:ascii="Trebuchet MS" w:hAnsi="Trebuchet MS"/>
          <w:sz w:val="22"/>
          <w:szCs w:val="22"/>
          <w:lang w:val="ro-RO"/>
        </w:rPr>
      </w:pPr>
      <w:r>
        <w:rPr>
          <w:rFonts w:ascii="Trebuchet MS" w:hAnsi="Trebuchet MS"/>
          <w:b/>
          <w:bCs/>
          <w:sz w:val="22"/>
          <w:szCs w:val="22"/>
          <w:lang w:val="ro-RO"/>
        </w:rPr>
        <w:t xml:space="preserve">2. Valoarea adăugată a măsurii </w:t>
      </w:r>
    </w:p>
    <w:p>
      <w:pPr>
        <w:pStyle w:val="Normal"/>
        <w:spacing w:before="0" w:after="0"/>
        <w:jc w:val="both"/>
        <w:rPr>
          <w:rFonts w:ascii="Trebuchet MS" w:hAnsi="Trebuchet MS"/>
          <w:sz w:val="22"/>
          <w:szCs w:val="22"/>
        </w:rPr>
      </w:pPr>
      <w:r>
        <w:rPr>
          <w:rFonts w:ascii="Trebuchet MS" w:hAnsi="Trebuchet MS"/>
          <w:sz w:val="22"/>
          <w:szCs w:val="22"/>
        </w:rPr>
        <w:t xml:space="preserve">Valoarea adăugată a acestei măsuri este generată, în primul rând de </w:t>
      </w:r>
      <w:r>
        <w:rPr>
          <w:rFonts w:ascii="Trebuchet MS" w:hAnsi="Trebuchet MS"/>
          <w:b/>
          <w:bCs/>
          <w:sz w:val="22"/>
          <w:szCs w:val="22"/>
          <w:u w:val="single"/>
        </w:rPr>
        <w:t>impactul generat</w:t>
      </w:r>
      <w:r>
        <w:rPr>
          <w:rFonts w:ascii="Trebuchet MS" w:hAnsi="Trebuchet MS"/>
          <w:b/>
          <w:bCs/>
          <w:sz w:val="22"/>
          <w:szCs w:val="22"/>
        </w:rPr>
        <w:t xml:space="preserve"> (a) </w:t>
      </w:r>
      <w:r>
        <w:rPr>
          <w:rFonts w:ascii="Trebuchet MS" w:hAnsi="Trebuchet MS"/>
          <w:sz w:val="22"/>
          <w:szCs w:val="22"/>
        </w:rPr>
        <w:t xml:space="preserve">la nivelul teritoriului </w:t>
      </w:r>
      <w:r>
        <w:rPr>
          <w:rFonts w:cs="Arial" w:ascii="Trebuchet MS" w:hAnsi="Trebuchet MS"/>
          <w:sz w:val="22"/>
          <w:szCs w:val="22"/>
        </w:rPr>
        <w:t xml:space="preserve">și în al doilea rând de </w:t>
      </w:r>
      <w:r>
        <w:rPr>
          <w:rFonts w:cs="Arial" w:ascii="Trebuchet MS" w:hAnsi="Trebuchet MS"/>
          <w:b/>
          <w:bCs/>
          <w:sz w:val="22"/>
          <w:szCs w:val="22"/>
          <w:u w:val="single"/>
        </w:rPr>
        <w:t>caracterul inovator</w:t>
      </w:r>
      <w:r>
        <w:rPr>
          <w:rFonts w:cs="Arial" w:ascii="Trebuchet MS" w:hAnsi="Trebuchet MS"/>
          <w:b/>
          <w:bCs/>
          <w:sz w:val="22"/>
          <w:szCs w:val="22"/>
        </w:rPr>
        <w:t xml:space="preserve"> (b) </w:t>
      </w:r>
      <w:r>
        <w:rPr>
          <w:rFonts w:cs="Arial" w:ascii="Trebuchet MS" w:hAnsi="Trebuchet MS"/>
          <w:sz w:val="22"/>
          <w:szCs w:val="22"/>
        </w:rPr>
        <w:t>al intervenției.</w:t>
      </w:r>
    </w:p>
    <w:p>
      <w:pPr>
        <w:pStyle w:val="Default"/>
        <w:spacing w:lineRule="auto" w:line="276"/>
        <w:jc w:val="both"/>
        <w:rPr>
          <w:sz w:val="22"/>
          <w:szCs w:val="22"/>
        </w:rPr>
      </w:pPr>
      <w:r>
        <w:rPr>
          <w:b/>
          <w:bCs/>
          <w:sz w:val="22"/>
          <w:szCs w:val="22"/>
        </w:rPr>
        <w:t xml:space="preserve">(a) </w:t>
      </w:r>
      <w:r>
        <w:rPr>
          <w:sz w:val="22"/>
          <w:szCs w:val="22"/>
        </w:rPr>
        <w:t xml:space="preserve">Prin stimularea dezvoltării activităților non-agricole, măsura propusă va genera impact la nivelul teritoriului prin </w:t>
      </w:r>
      <w:r>
        <w:rPr>
          <w:b/>
          <w:bCs/>
          <w:sz w:val="22"/>
          <w:szCs w:val="22"/>
        </w:rPr>
        <w:t xml:space="preserve">creșterea veniturilor, generarea de noi locuri de muncă, diminuarea efectului de migrare a populației active din teritoriu, favorizarea creșterii gradului de calificare a forței de muncă existente la nivel local, dobândirea de noi competențe antreprenoriale de către promotorii de afaceri, lărgirea gamei de servicii oferite către populația locală </w:t>
      </w:r>
      <w:r>
        <w:rPr>
          <w:sz w:val="22"/>
          <w:szCs w:val="22"/>
        </w:rPr>
        <w:t>(cu un dublu efect multiplicator, atât pentru întreprinderile care oferă serviciile respective prin creșterea veniturile, cât și pentru populație prin facilitarea accesului rapid și facil la servicii și produse de calitate oferite la nivelul teritoriului)</w:t>
      </w:r>
      <w:r>
        <w:rPr>
          <w:b/>
          <w:bCs/>
          <w:sz w:val="22"/>
          <w:szCs w:val="22"/>
        </w:rPr>
        <w:t xml:space="preserve">. </w:t>
      </w:r>
      <w:r>
        <w:rPr>
          <w:sz w:val="22"/>
          <w:szCs w:val="22"/>
        </w:rPr>
        <w:t xml:space="preserve">Acești factori vor contribui la </w:t>
      </w:r>
      <w:r>
        <w:rPr>
          <w:i/>
          <w:iCs/>
          <w:sz w:val="22"/>
          <w:szCs w:val="22"/>
        </w:rPr>
        <w:t>creșterea economică a teritoriului</w:t>
      </w:r>
      <w:r>
        <w:rPr>
          <w:sz w:val="22"/>
          <w:szCs w:val="22"/>
        </w:rPr>
        <w:t xml:space="preserve">, la </w:t>
      </w:r>
      <w:r>
        <w:rPr>
          <w:i/>
          <w:iCs/>
          <w:sz w:val="22"/>
          <w:szCs w:val="22"/>
        </w:rPr>
        <w:t xml:space="preserve">îmbunătățirea nivelului de trai din teritoriu GAL, </w:t>
      </w:r>
      <w:r>
        <w:rPr>
          <w:sz w:val="22"/>
          <w:szCs w:val="22"/>
        </w:rPr>
        <w:t xml:space="preserve">precum și la </w:t>
      </w:r>
      <w:r>
        <w:rPr>
          <w:i/>
          <w:iCs/>
          <w:sz w:val="22"/>
          <w:szCs w:val="22"/>
        </w:rPr>
        <w:t>atingerea unui echilibru teritorial, social și economic în spațiul rural pentru localitățile patenere.</w:t>
      </w:r>
    </w:p>
    <w:p>
      <w:pPr>
        <w:pStyle w:val="Default"/>
        <w:spacing w:lineRule="auto" w:line="276"/>
        <w:jc w:val="both"/>
        <w:rPr>
          <w:sz w:val="22"/>
          <w:szCs w:val="22"/>
        </w:rPr>
      </w:pPr>
      <w:r>
        <w:rPr>
          <w:sz w:val="22"/>
          <w:szCs w:val="22"/>
        </w:rPr>
        <w:t xml:space="preserve">Prin modul în care au fost stabilite valorile și intensitățile spijinului financiar, precum și unele principii de selecție, se va favoriza dezvoltarea unor domenii de activitate din </w:t>
      </w:r>
      <w:r>
        <w:rPr>
          <w:b/>
          <w:bCs/>
          <w:sz w:val="22"/>
          <w:szCs w:val="22"/>
        </w:rPr>
        <w:t>sectoare cu potențial de creștere</w:t>
      </w:r>
      <w:r>
        <w:rPr>
          <w:sz w:val="22"/>
          <w:szCs w:val="22"/>
        </w:rPr>
        <w:t xml:space="preserve"> ce au un rol economic important și cu influență asupra ocupării forței de muncă. Prin sprijinirea dezvoltării unor sectoare economice cu potențial ridicat se urmărește atingerea </w:t>
      </w:r>
      <w:r>
        <w:rPr>
          <w:b/>
          <w:bCs/>
          <w:sz w:val="22"/>
          <w:szCs w:val="22"/>
        </w:rPr>
        <w:t>sustenabilității</w:t>
      </w:r>
      <w:r>
        <w:rPr>
          <w:sz w:val="22"/>
          <w:szCs w:val="22"/>
        </w:rPr>
        <w:t xml:space="preserve"> </w:t>
      </w:r>
      <w:r>
        <w:rPr>
          <w:b/>
          <w:bCs/>
          <w:sz w:val="22"/>
          <w:szCs w:val="22"/>
        </w:rPr>
        <w:t>S</w:t>
      </w:r>
      <w:r>
        <w:rPr>
          <w:sz w:val="22"/>
          <w:szCs w:val="22"/>
        </w:rPr>
        <w:t>trategiei de</w:t>
      </w:r>
      <w:r>
        <w:rPr>
          <w:b/>
          <w:bCs/>
          <w:sz w:val="22"/>
          <w:szCs w:val="22"/>
        </w:rPr>
        <w:t xml:space="preserve"> D</w:t>
      </w:r>
      <w:r>
        <w:rPr>
          <w:sz w:val="22"/>
          <w:szCs w:val="22"/>
        </w:rPr>
        <w:t xml:space="preserve">ezvoltare </w:t>
      </w:r>
      <w:r>
        <w:rPr>
          <w:b/>
          <w:bCs/>
          <w:sz w:val="22"/>
          <w:szCs w:val="22"/>
        </w:rPr>
        <w:t>L</w:t>
      </w:r>
      <w:r>
        <w:rPr>
          <w:sz w:val="22"/>
          <w:szCs w:val="22"/>
        </w:rPr>
        <w:t>ocală la nivelul teritoriului prin încurajarea unor operațiuni ce vor avea efecte multiplicatoare și după finalizarea implementării măsurilor propuse. Astfel, pe lângă obiectivul imediat, Strategia definește și un obiectiv pe termen lung care se referă la pregătirea condițiilor pentru un standard de viață mai ridicat pentru generațiile viitoare.</w:t>
      </w:r>
    </w:p>
    <w:p>
      <w:pPr>
        <w:pStyle w:val="Normal"/>
        <w:spacing w:before="0" w:after="0"/>
        <w:jc w:val="both"/>
        <w:rPr>
          <w:rFonts w:ascii="Trebuchet MS" w:hAnsi="Trebuchet MS"/>
          <w:sz w:val="22"/>
          <w:szCs w:val="22"/>
        </w:rPr>
      </w:pPr>
      <w:r>
        <w:rPr>
          <w:rFonts w:ascii="Trebuchet MS" w:hAnsi="Trebuchet MS"/>
          <w:bCs/>
          <w:color w:val="000000"/>
          <w:sz w:val="22"/>
          <w:szCs w:val="22"/>
          <w:lang w:val="ro-RO"/>
        </w:rPr>
        <w:t xml:space="preserve">Operațiunile sprijinite în cadrul măsurii vor contribui la creșterea eficienței energetice, prin utilizarea surselor regenerabile de energie, favorizând reducerea efectelor schimbărilor climatice și contribuind la atingerea obiectivelor transversale </w:t>
      </w:r>
      <w:r>
        <w:rPr>
          <w:rFonts w:ascii="Trebuchet MS" w:hAnsi="Trebuchet MS"/>
          <w:b/>
          <w:bCs/>
          <w:color w:val="000000"/>
          <w:sz w:val="22"/>
          <w:szCs w:val="22"/>
          <w:lang w:val="ro-RO"/>
        </w:rPr>
        <w:t>„</w:t>
      </w:r>
      <w:r>
        <w:rPr>
          <w:rFonts w:ascii="Trebuchet MS" w:hAnsi="Trebuchet MS"/>
          <w:b/>
          <w:bCs/>
          <w:color w:val="000000"/>
          <w:sz w:val="22"/>
          <w:szCs w:val="22"/>
        </w:rPr>
        <w:t xml:space="preserve">mediu </w:t>
      </w:r>
      <w:r>
        <w:rPr>
          <w:rFonts w:ascii="Trebuchet MS" w:hAnsi="Trebuchet MS"/>
          <w:b/>
          <w:bCs/>
          <w:color w:val="000000"/>
          <w:sz w:val="22"/>
          <w:szCs w:val="22"/>
          <w:lang w:val="ro-RO"/>
        </w:rPr>
        <w:t>și climă.”</w:t>
      </w:r>
    </w:p>
    <w:p>
      <w:pPr>
        <w:pStyle w:val="Default"/>
        <w:spacing w:lineRule="auto" w:line="276"/>
        <w:jc w:val="both"/>
        <w:rPr>
          <w:sz w:val="22"/>
          <w:szCs w:val="22"/>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pPr>
        <w:pStyle w:val="Default"/>
        <w:spacing w:lineRule="auto" w:line="276"/>
        <w:jc w:val="both"/>
        <w:rPr>
          <w:color w:val="5F497A" w:themeColor="accent4" w:themeShade="bf"/>
          <w:sz w:val="22"/>
          <w:szCs w:val="22"/>
        </w:rPr>
      </w:pPr>
      <w:r>
        <w:rPr>
          <w:color w:val="5F497A" w:themeColor="accent4" w:themeShade="bf"/>
          <w:sz w:val="22"/>
          <w:szCs w:val="22"/>
          <w:lang w:val="en-US"/>
        </w:rPr>
        <w:t>Criteriile de selec</w:t>
      </w:r>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w:t>
      </w:r>
    </w:p>
    <w:p>
      <w:pPr>
        <w:pStyle w:val="Default"/>
        <w:spacing w:lineRule="auto" w:line="276"/>
        <w:jc w:val="both"/>
        <w:rPr>
          <w:sz w:val="22"/>
          <w:szCs w:val="22"/>
        </w:rPr>
      </w:pPr>
      <w:r>
        <w:rPr>
          <w:sz w:val="22"/>
          <w:szCs w:val="22"/>
        </w:rPr>
        <w:t>Valoarea adăugată a măsurii rezidă și în prioritizarea proiectelor ce propun investiții sau ce conțin componente în domenii ce au un puternic caracter inovator, caracterizate prin dezvoltare tehnologică (sănătate, energie și management de mediu).</w:t>
      </w:r>
    </w:p>
    <w:p>
      <w:pPr>
        <w:pStyle w:val="Default"/>
        <w:spacing w:lineRule="auto" w:line="276"/>
        <w:jc w:val="both"/>
        <w:rPr>
          <w:sz w:val="22"/>
          <w:szCs w:val="22"/>
          <w:u w:val="single"/>
        </w:rPr>
      </w:pPr>
      <w:r>
        <w:rPr>
          <w:b/>
          <w:bCs/>
          <w:sz w:val="22"/>
          <w:szCs w:val="22"/>
          <w:u w:val="single"/>
        </w:rPr>
        <w:t xml:space="preserve">Relevanța măsurii </w:t>
      </w:r>
      <w:r>
        <w:rPr>
          <w:sz w:val="22"/>
          <w:szCs w:val="22"/>
          <w:u w:val="single"/>
        </w:rPr>
        <w:t>în cadrul SDL</w:t>
      </w:r>
    </w:p>
    <w:p>
      <w:pPr>
        <w:pStyle w:val="Default"/>
        <w:spacing w:lineRule="auto" w:line="276"/>
        <w:jc w:val="both"/>
        <w:rPr>
          <w:sz w:val="22"/>
          <w:szCs w:val="22"/>
        </w:rPr>
      </w:pPr>
      <w:r>
        <w:rPr>
          <w:sz w:val="22"/>
          <w:szCs w:val="22"/>
        </w:rPr>
        <w:t>Dezvoltarea sectorului întreprinderilor mici și mijlocii este deosebit de importantă în economia teritoriului, deoarece reprezintă o sursă importantă de locuri de muncă și crează o cultură a competiției bazată pe flexibilitate și competitivitate.</w:t>
      </w:r>
    </w:p>
    <w:p>
      <w:pPr>
        <w:pStyle w:val="Normal"/>
        <w:spacing w:before="0" w:after="0"/>
        <w:jc w:val="both"/>
        <w:rPr>
          <w:rFonts w:ascii="Trebuchet MS" w:hAnsi="Trebuchet MS"/>
          <w:sz w:val="22"/>
          <w:szCs w:val="22"/>
        </w:rPr>
      </w:pPr>
      <w:r>
        <w:rPr>
          <w:rFonts w:ascii="Trebuchet MS" w:hAnsi="Trebuchet MS"/>
          <w:sz w:val="22"/>
          <w:szCs w:val="22"/>
        </w:rPr>
        <w:t>Operațiunile propuse în cadrul măsurii răspund în mod integrat tututor necesităților identificate la nivelul teritoriului</w:t>
      </w:r>
      <w:r>
        <w:rPr>
          <w:rFonts w:cs="Arial" w:ascii="Trebuchet MS" w:hAnsi="Trebuchet MS"/>
          <w:b/>
          <w:bCs/>
          <w:i/>
          <w:iCs/>
          <w:sz w:val="22"/>
          <w:szCs w:val="22"/>
        </w:rPr>
        <w:t xml:space="preserve">. </w:t>
      </w:r>
      <w:r>
        <w:rPr>
          <w:rFonts w:cs="Arial" w:ascii="Trebuchet MS" w:hAnsi="Trebuchet MS"/>
          <w:sz w:val="22"/>
          <w:szCs w:val="22"/>
        </w:rPr>
        <w:t>Astfel, măsura integrează soluții eficiente la toate problemele semnalate la nivelul parteneriatului în ceea ce privește mediul de afaceri.</w:t>
      </w:r>
    </w:p>
    <w:p>
      <w:pPr>
        <w:pStyle w:val="Default"/>
        <w:spacing w:lineRule="auto" w:line="276"/>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pPr>
        <w:pStyle w:val="Default"/>
        <w:shd w:val="clear" w:color="auto" w:fill="E5DFEC" w:themeFill="accent4" w:themeFillTint="33"/>
        <w:spacing w:lineRule="auto" w:line="276"/>
        <w:rPr>
          <w:sz w:val="22"/>
          <w:szCs w:val="22"/>
        </w:rPr>
      </w:pPr>
      <w:r>
        <w:rPr>
          <w:b/>
          <w:bCs/>
          <w:sz w:val="22"/>
          <w:szCs w:val="22"/>
        </w:rPr>
        <w:t xml:space="preserve">3. Trimiteri la alte acte legislative </w:t>
      </w:r>
    </w:p>
    <w:p>
      <w:pPr>
        <w:pStyle w:val="Default"/>
        <w:numPr>
          <w:ilvl w:val="0"/>
          <w:numId w:val="1"/>
        </w:numPr>
        <w:spacing w:lineRule="auto" w:line="276"/>
        <w:jc w:val="both"/>
        <w:rPr>
          <w:sz w:val="22"/>
          <w:szCs w:val="22"/>
        </w:rPr>
      </w:pPr>
      <w:r>
        <w:rPr>
          <w:b/>
          <w:bCs/>
          <w:color w:val="00000A"/>
          <w:sz w:val="22"/>
          <w:szCs w:val="22"/>
        </w:rPr>
        <w:t>Recomandarea 2003/361/CE din 6 mai 2003</w:t>
      </w:r>
      <w:r>
        <w:rPr>
          <w:color w:val="00000A"/>
          <w:sz w:val="22"/>
          <w:szCs w:val="22"/>
        </w:rPr>
        <w:t xml:space="preserve"> privind definirea micro-întreprinderilor și a întreprinderilor mici şi mijlocii.</w:t>
      </w:r>
    </w:p>
    <w:p>
      <w:pPr>
        <w:pStyle w:val="Default"/>
        <w:numPr>
          <w:ilvl w:val="0"/>
          <w:numId w:val="1"/>
        </w:numPr>
        <w:spacing w:lineRule="auto" w:line="276"/>
        <w:jc w:val="both"/>
        <w:rPr>
          <w:sz w:val="22"/>
          <w:szCs w:val="22"/>
        </w:rPr>
      </w:pPr>
      <w:r>
        <w:rPr>
          <w:sz w:val="22"/>
          <w:szCs w:val="22"/>
        </w:rPr>
        <w:t>Regulamentul (UE) privind aplicarea art. 107 și 108 din Tratatul privind funcționarea Uniunii Europene referitor la ajutoarele de minimis.</w:t>
      </w:r>
    </w:p>
    <w:p>
      <w:pPr>
        <w:pStyle w:val="Default"/>
        <w:numPr>
          <w:ilvl w:val="0"/>
          <w:numId w:val="1"/>
        </w:numPr>
        <w:spacing w:lineRule="auto" w:line="276"/>
        <w:jc w:val="both"/>
        <w:rPr>
          <w:sz w:val="22"/>
          <w:szCs w:val="22"/>
          <w:lang w:val="en-US"/>
        </w:rPr>
      </w:pPr>
      <w:r>
        <w:rPr>
          <w:b/>
          <w:bCs/>
          <w:sz w:val="22"/>
          <w:szCs w:val="22"/>
          <w:lang w:val="en-US"/>
        </w:rPr>
        <w:t>Comunicarea Comisiei nr. 2008/C155/02</w:t>
      </w:r>
      <w:r>
        <w:rPr>
          <w:sz w:val="22"/>
          <w:szCs w:val="22"/>
          <w:lang w:val="en-US"/>
        </w:rPr>
        <w:t xml:space="preserve"> cu privire la aplicarea art. 87 </w:t>
      </w:r>
      <w:r>
        <w:rPr>
          <w:sz w:val="22"/>
          <w:szCs w:val="22"/>
        </w:rPr>
        <w:t>ș</w:t>
      </w:r>
      <w:r>
        <w:rPr>
          <w:sz w:val="22"/>
          <w:szCs w:val="22"/>
          <w:lang w:val="en-US"/>
        </w:rPr>
        <w:t xml:space="preserve">i 88 </w:t>
      </w:r>
      <w:r>
        <w:rPr>
          <w:sz w:val="22"/>
          <w:szCs w:val="22"/>
        </w:rPr>
        <w:t>din Tratatul CE privind ajutoarele de stat sub formă de garanții.</w:t>
      </w:r>
    </w:p>
    <w:p>
      <w:pPr>
        <w:pStyle w:val="Default"/>
        <w:numPr>
          <w:ilvl w:val="0"/>
          <w:numId w:val="1"/>
        </w:numPr>
        <w:spacing w:lineRule="auto" w:line="276"/>
        <w:jc w:val="both"/>
        <w:rPr>
          <w:sz w:val="22"/>
          <w:szCs w:val="22"/>
          <w:lang w:val="en-US"/>
        </w:rPr>
      </w:pPr>
      <w:r>
        <w:rPr>
          <w:b/>
          <w:bCs/>
          <w:sz w:val="22"/>
          <w:szCs w:val="22"/>
        </w:rPr>
        <w:t>Comunicarea Comisiei nr. 2008/C14/02</w:t>
      </w:r>
      <w:r>
        <w:rPr>
          <w:sz w:val="22"/>
          <w:szCs w:val="22"/>
        </w:rPr>
        <w:t xml:space="preserve"> cu privire la revizuirea metodei de stabilire a ratelor de referință și de actualizare.</w:t>
      </w:r>
    </w:p>
    <w:p>
      <w:pPr>
        <w:pStyle w:val="Default"/>
        <w:numPr>
          <w:ilvl w:val="0"/>
          <w:numId w:val="1"/>
        </w:numPr>
        <w:spacing w:lineRule="auto" w:line="276"/>
        <w:jc w:val="both"/>
        <w:rPr>
          <w:sz w:val="22"/>
          <w:szCs w:val="22"/>
          <w:lang w:val="en-US"/>
        </w:rPr>
      </w:pPr>
      <w:r>
        <w:rPr>
          <w:sz w:val="22"/>
          <w:szCs w:val="22"/>
        </w:rPr>
        <w:t>Linii directoare comunitare privind ajutorul de stat pentru salvarea și restructurarea întreprinderilor aflate în dificultate.</w:t>
      </w:r>
    </w:p>
    <w:p>
      <w:pPr>
        <w:pStyle w:val="Default"/>
        <w:numPr>
          <w:ilvl w:val="0"/>
          <w:numId w:val="1"/>
        </w:numPr>
        <w:spacing w:lineRule="auto" w:line="276"/>
        <w:jc w:val="both"/>
        <w:rPr>
          <w:sz w:val="22"/>
          <w:szCs w:val="22"/>
        </w:rPr>
      </w:pPr>
      <w:r>
        <w:rPr>
          <w:b/>
          <w:bCs/>
          <w:sz w:val="22"/>
          <w:szCs w:val="22"/>
        </w:rPr>
        <w:t>Legii nr. 346/2004</w:t>
      </w:r>
      <w:r>
        <w:rPr>
          <w:sz w:val="22"/>
          <w:szCs w:val="22"/>
        </w:rPr>
        <w:t xml:space="preserve"> privind stimularea înfiinţării şi dezvoltării întreprinderilor mici şi mijlocii, cu modificările şi completările ulterioare.</w:t>
      </w:r>
    </w:p>
    <w:p>
      <w:pPr>
        <w:pStyle w:val="Default"/>
        <w:numPr>
          <w:ilvl w:val="0"/>
          <w:numId w:val="1"/>
        </w:numPr>
        <w:spacing w:lineRule="auto" w:line="276"/>
        <w:jc w:val="both"/>
        <w:rPr>
          <w:sz w:val="22"/>
          <w:szCs w:val="22"/>
        </w:rPr>
      </w:pPr>
      <w:r>
        <w:rPr>
          <w:b/>
          <w:bCs/>
          <w:color w:val="00000A"/>
          <w:sz w:val="22"/>
          <w:szCs w:val="22"/>
        </w:rPr>
        <w:t>Ordonanță de urgență nr. 44/2008</w:t>
      </w:r>
      <w:r>
        <w:rPr>
          <w:color w:val="00000A"/>
          <w:sz w:val="22"/>
          <w:szCs w:val="22"/>
        </w:rPr>
        <w:t xml:space="preserve"> privind desfășurarea activităților economice de către persoanele fizice autorizate, întreprinderile individuale și întreprinderile familiale cu modificările și completările ulterioare.</w:t>
      </w:r>
    </w:p>
    <w:p>
      <w:pPr>
        <w:pStyle w:val="Default"/>
        <w:numPr>
          <w:ilvl w:val="0"/>
          <w:numId w:val="1"/>
        </w:numPr>
        <w:spacing w:lineRule="auto" w:line="276"/>
        <w:jc w:val="both"/>
        <w:rPr>
          <w:sz w:val="22"/>
          <w:szCs w:val="22"/>
        </w:rPr>
      </w:pPr>
      <w:r>
        <w:rPr>
          <w:b/>
          <w:bCs/>
          <w:color w:val="00000A"/>
          <w:sz w:val="22"/>
          <w:szCs w:val="22"/>
        </w:rPr>
        <w:t>Ordonanță de urgență nr. 142/2008</w:t>
      </w:r>
      <w:r>
        <w:rPr>
          <w:color w:val="00000A"/>
          <w:sz w:val="22"/>
          <w:szCs w:val="22"/>
        </w:rPr>
        <w:t xml:space="preserve"> privind aprobarea Planului de amenajare a teritoriului național.</w:t>
      </w:r>
    </w:p>
    <w:p>
      <w:pPr>
        <w:pStyle w:val="Default"/>
        <w:shd w:val="clear" w:color="auto" w:fill="E5DFEC" w:themeFill="accent4" w:themeFillTint="33"/>
        <w:spacing w:lineRule="auto" w:line="276"/>
        <w:rPr>
          <w:b/>
          <w:b/>
          <w:bCs/>
          <w:sz w:val="22"/>
          <w:szCs w:val="22"/>
        </w:rPr>
      </w:pPr>
      <w:r>
        <w:rPr>
          <w:b/>
          <w:bCs/>
          <w:sz w:val="22"/>
          <w:szCs w:val="22"/>
        </w:rPr>
        <w:t>4. Beneficiari direcți/indirecți (grup țintă)</w:t>
      </w:r>
    </w:p>
    <w:p>
      <w:pPr>
        <w:pStyle w:val="Default"/>
        <w:spacing w:lineRule="auto" w:line="276"/>
        <w:jc w:val="both"/>
        <w:rPr>
          <w:sz w:val="22"/>
          <w:szCs w:val="22"/>
        </w:rPr>
      </w:pPr>
      <w:r>
        <w:rPr>
          <w:b/>
          <w:bCs/>
          <w:sz w:val="22"/>
          <w:szCs w:val="22"/>
          <w:lang w:val="en-US"/>
        </w:rPr>
        <w:t>Beneficiari direc</w:t>
      </w:r>
      <w:r>
        <w:rPr>
          <w:b/>
          <w:bCs/>
          <w:sz w:val="22"/>
          <w:szCs w:val="22"/>
        </w:rPr>
        <w:t>ți:</w:t>
      </w:r>
    </w:p>
    <w:p>
      <w:pPr>
        <w:pStyle w:val="Default"/>
        <w:tabs>
          <w:tab w:val="left" w:pos="338" w:leader="none"/>
          <w:tab w:val="left" w:pos="1138" w:leader="none"/>
        </w:tabs>
        <w:spacing w:lineRule="auto" w:line="276"/>
        <w:jc w:val="both"/>
        <w:rPr>
          <w:sz w:val="22"/>
          <w:szCs w:val="22"/>
        </w:rPr>
      </w:pPr>
      <w:r>
        <w:rPr>
          <w:b/>
          <w:bCs/>
          <w:sz w:val="22"/>
          <w:szCs w:val="22"/>
        </w:rPr>
        <w:t>- Micro‐întreprinderi</w:t>
      </w:r>
      <w:r>
        <w:rPr>
          <w:sz w:val="22"/>
          <w:szCs w:val="22"/>
        </w:rPr>
        <w:t xml:space="preserve"> şi </w:t>
      </w:r>
      <w:r>
        <w:rPr>
          <w:b/>
          <w:bCs/>
          <w:sz w:val="22"/>
          <w:szCs w:val="22"/>
        </w:rPr>
        <w:t>întreprinderi neagricole mici existente şi nou‐înfiinţate</w:t>
      </w:r>
      <w:r>
        <w:rPr>
          <w:sz w:val="22"/>
          <w:szCs w:val="22"/>
        </w:rPr>
        <w:t xml:space="preserve"> din teritoriul GAL;</w:t>
      </w:r>
    </w:p>
    <w:p>
      <w:pPr>
        <w:pStyle w:val="Default"/>
        <w:spacing w:lineRule="auto" w:line="276"/>
        <w:jc w:val="both"/>
        <w:rPr>
          <w:sz w:val="22"/>
          <w:szCs w:val="22"/>
        </w:rPr>
      </w:pPr>
      <w:r>
        <w:rPr>
          <w:b/>
          <w:bCs/>
          <w:sz w:val="22"/>
          <w:szCs w:val="22"/>
        </w:rPr>
        <w:t>- Fermieri</w:t>
      </w:r>
      <w:r>
        <w:rPr>
          <w:sz w:val="22"/>
          <w:szCs w:val="22"/>
        </w:rPr>
        <w:t xml:space="preserve"> sau </w:t>
      </w:r>
      <w:r>
        <w:rPr>
          <w:b/>
          <w:bCs/>
          <w:sz w:val="22"/>
          <w:szCs w:val="22"/>
        </w:rPr>
        <w:t>membrii unor gospodării agricole</w:t>
      </w:r>
      <w:r>
        <w:rPr>
          <w:sz w:val="22"/>
          <w:szCs w:val="22"/>
        </w:rPr>
        <w:t xml:space="preserve"> care îşi diversifică activitatea de bază agricolă prin dezvoltarea unei activităţi non-agricole în teritoriul GAL în cadrul întreprinderii deja existente, încadrabile în micro‐întreprinderi şi întreprinderi mici, cu excepţia persoanelor fizice neautorizate.</w:t>
      </w:r>
    </w:p>
    <w:p>
      <w:pPr>
        <w:pStyle w:val="Default"/>
        <w:spacing w:lineRule="auto" w:line="276"/>
        <w:jc w:val="both"/>
        <w:rPr>
          <w:sz w:val="22"/>
          <w:szCs w:val="22"/>
        </w:rPr>
      </w:pPr>
      <w:r>
        <w:rPr>
          <w:b/>
          <w:bCs/>
          <w:sz w:val="22"/>
          <w:szCs w:val="22"/>
        </w:rPr>
        <w:t xml:space="preserve">Beneficiari indirecți: </w:t>
      </w:r>
    </w:p>
    <w:p>
      <w:pPr>
        <w:pStyle w:val="Default"/>
        <w:spacing w:lineRule="auto" w:line="276"/>
        <w:jc w:val="both"/>
        <w:rPr>
          <w:sz w:val="22"/>
          <w:szCs w:val="22"/>
        </w:rPr>
      </w:pPr>
      <w:r>
        <w:rPr>
          <w:sz w:val="22"/>
          <w:szCs w:val="22"/>
        </w:rPr>
        <w:t>- populația activă aflată în căutarea unui loc de muncă;</w:t>
      </w:r>
    </w:p>
    <w:p>
      <w:pPr>
        <w:pStyle w:val="Default"/>
        <w:spacing w:lineRule="auto" w:line="276"/>
        <w:jc w:val="both"/>
        <w:rPr>
          <w:sz w:val="22"/>
          <w:szCs w:val="22"/>
        </w:rPr>
      </w:pPr>
      <w:r>
        <w:rPr>
          <w:sz w:val="22"/>
          <w:szCs w:val="22"/>
        </w:rPr>
        <w:t xml:space="preserve">- întreaga populație din teritoriu </w:t>
      </w:r>
      <w:r>
        <w:rPr>
          <w:sz w:val="22"/>
          <w:szCs w:val="22"/>
          <w:lang w:val="en-US"/>
        </w:rPr>
        <w:t xml:space="preserve">care va avea acces la servicii </w:t>
      </w:r>
      <w:r>
        <w:rPr>
          <w:sz w:val="22"/>
          <w:szCs w:val="22"/>
        </w:rPr>
        <w:t>și/sau produse locale.</w:t>
      </w:r>
    </w:p>
    <w:p>
      <w:pPr>
        <w:pStyle w:val="Default"/>
        <w:spacing w:lineRule="auto" w:line="276"/>
        <w:jc w:val="both"/>
        <w:rPr>
          <w:sz w:val="22"/>
          <w:szCs w:val="22"/>
        </w:rPr>
      </w:pPr>
      <w:r>
        <w:rPr>
          <w:sz w:val="22"/>
          <w:szCs w:val="22"/>
        </w:rPr>
      </w:r>
    </w:p>
    <w:p>
      <w:pPr>
        <w:pStyle w:val="Default"/>
        <w:shd w:val="clear" w:color="auto" w:fill="E5DFEC" w:themeFill="accent4" w:themeFillTint="33"/>
        <w:spacing w:lineRule="auto" w:line="276"/>
        <w:rPr>
          <w:sz w:val="22"/>
          <w:szCs w:val="22"/>
        </w:rPr>
      </w:pPr>
      <w:r>
        <w:rPr>
          <w:b/>
          <w:bCs/>
          <w:sz w:val="22"/>
          <w:szCs w:val="22"/>
        </w:rPr>
        <w:t xml:space="preserve">5. Tip de sprijin </w:t>
      </w:r>
    </w:p>
    <w:p>
      <w:pPr>
        <w:pStyle w:val="Default"/>
        <w:numPr>
          <w:ilvl w:val="0"/>
          <w:numId w:val="2"/>
        </w:numPr>
        <w:spacing w:lineRule="auto" w:line="276"/>
        <w:ind w:left="0" w:hanging="0"/>
        <w:jc w:val="both"/>
        <w:rPr>
          <w:sz w:val="22"/>
          <w:szCs w:val="22"/>
        </w:rPr>
      </w:pPr>
      <w:r>
        <w:rPr>
          <w:b/>
          <w:bCs/>
          <w:sz w:val="22"/>
          <w:szCs w:val="22"/>
        </w:rPr>
        <w:t xml:space="preserve">Rambursarea </w:t>
      </w:r>
      <w:r>
        <w:rPr>
          <w:bCs/>
          <w:sz w:val="22"/>
          <w:szCs w:val="22"/>
        </w:rPr>
        <w:t>costurilor eligibile suportate și plătite efectiv;</w:t>
      </w:r>
    </w:p>
    <w:p>
      <w:pPr>
        <w:pStyle w:val="Default"/>
        <w:numPr>
          <w:ilvl w:val="0"/>
          <w:numId w:val="2"/>
        </w:numPr>
        <w:spacing w:lineRule="auto" w:line="276"/>
        <w:ind w:left="0" w:hanging="0"/>
        <w:jc w:val="both"/>
        <w:rPr>
          <w:sz w:val="22"/>
          <w:szCs w:val="22"/>
        </w:rPr>
      </w:pPr>
      <w:r>
        <w:rPr>
          <w:b/>
          <w:bCs/>
          <w:sz w:val="22"/>
          <w:szCs w:val="22"/>
        </w:rPr>
        <w:t>Plăți în avans</w:t>
      </w:r>
      <w:r>
        <w:rPr>
          <w:bCs/>
          <w:sz w:val="22"/>
          <w:szCs w:val="22"/>
        </w:rPr>
        <w:t>, cu condiția constituirii unei garanții bancare corespunzătoare procentului de 100% din valoarea avansului, în conformitate cu art. 45 (4) și art. 63 ale R (UE) nr. 1305/2013.</w:t>
      </w:r>
    </w:p>
    <w:p>
      <w:pPr>
        <w:pStyle w:val="Default"/>
        <w:shd w:val="clear" w:color="auto" w:fill="E5DFEC" w:themeFill="accent4" w:themeFillTint="33"/>
        <w:spacing w:lineRule="auto" w:line="276"/>
        <w:rPr>
          <w:sz w:val="22"/>
          <w:szCs w:val="22"/>
        </w:rPr>
      </w:pPr>
      <w:r>
        <w:rPr>
          <w:b/>
          <w:bCs/>
          <w:sz w:val="22"/>
          <w:szCs w:val="22"/>
        </w:rPr>
        <w:t>6. Tipuri de acțiuni eligibile și neeligibile</w:t>
      </w:r>
    </w:p>
    <w:p>
      <w:pPr>
        <w:pStyle w:val="Default"/>
        <w:spacing w:lineRule="auto" w:line="276"/>
        <w:jc w:val="both"/>
        <w:rPr>
          <w:sz w:val="22"/>
          <w:szCs w:val="22"/>
        </w:rPr>
      </w:pPr>
      <w:r>
        <w:rPr>
          <w:b/>
          <w:bCs/>
          <w:sz w:val="22"/>
          <w:szCs w:val="22"/>
        </w:rPr>
        <w:t>Acțiuni eligibile:</w:t>
      </w:r>
    </w:p>
    <w:p>
      <w:pPr>
        <w:pStyle w:val="Normal"/>
        <w:spacing w:before="0" w:after="0"/>
        <w:jc w:val="both"/>
        <w:rPr>
          <w:rFonts w:ascii="Trebuchet MS" w:hAnsi="Trebuchet MS"/>
          <w:sz w:val="22"/>
          <w:szCs w:val="22"/>
        </w:rPr>
      </w:pPr>
      <w:r>
        <w:rPr>
          <w:rFonts w:cs="Trebuchet MS" w:ascii="Trebuchet MS" w:hAnsi="Trebuchet MS"/>
          <w:bCs/>
          <w:color w:val="000000"/>
          <w:sz w:val="22"/>
          <w:szCs w:val="22"/>
        </w:rPr>
        <w:t xml:space="preserve">Investiții pentru </w:t>
      </w:r>
      <w:r>
        <w:rPr>
          <w:rFonts w:cs="Trebuchet MS" w:ascii="Trebuchet MS" w:hAnsi="Trebuchet MS"/>
          <w:b/>
          <w:bCs/>
          <w:color w:val="000000"/>
          <w:sz w:val="22"/>
          <w:szCs w:val="22"/>
        </w:rPr>
        <w:t>producerea și comercializarea produselor non-agricole</w:t>
      </w:r>
      <w:r>
        <w:rPr>
          <w:rFonts w:cs="Trebuchet MS" w:ascii="Trebuchet MS" w:hAnsi="Trebuchet MS"/>
          <w:bCs/>
          <w:color w:val="000000"/>
          <w:sz w:val="22"/>
          <w:szCs w:val="22"/>
        </w:rPr>
        <w:t xml:space="preserve">: </w:t>
      </w:r>
    </w:p>
    <w:p>
      <w:pPr>
        <w:pStyle w:val="ListParagraph"/>
        <w:widowControl w:val="false"/>
        <w:numPr>
          <w:ilvl w:val="0"/>
          <w:numId w:val="3"/>
        </w:numPr>
        <w:spacing w:before="0" w:after="0"/>
        <w:jc w:val="both"/>
        <w:rPr>
          <w:rFonts w:ascii="Trebuchet MS" w:hAnsi="Trebuchet MS"/>
          <w:sz w:val="22"/>
          <w:szCs w:val="22"/>
        </w:rPr>
      </w:pPr>
      <w:r>
        <w:rPr>
          <w:rFonts w:cs="Trebuchet MS" w:ascii="Trebuchet MS" w:hAnsi="Trebuchet MS"/>
          <w:bCs/>
          <w:color w:val="000000"/>
          <w:sz w:val="22"/>
          <w:szCs w:val="22"/>
        </w:rPr>
        <w:t xml:space="preserve">fabricarea produselor textile, îmbrăcăminte, articole de marochinărie, articole de hârtie și carton; </w:t>
      </w:r>
    </w:p>
    <w:p>
      <w:pPr>
        <w:pStyle w:val="ListParagraph"/>
        <w:widowControl w:val="false"/>
        <w:numPr>
          <w:ilvl w:val="0"/>
          <w:numId w:val="3"/>
        </w:numPr>
        <w:spacing w:before="0" w:after="0"/>
        <w:jc w:val="both"/>
        <w:rPr>
          <w:rFonts w:ascii="Trebuchet MS" w:hAnsi="Trebuchet MS"/>
          <w:sz w:val="22"/>
          <w:szCs w:val="22"/>
        </w:rPr>
      </w:pPr>
      <w:r>
        <w:rPr>
          <w:rFonts w:cs="Trebuchet MS" w:ascii="Trebuchet MS" w:hAnsi="Trebuchet MS"/>
          <w:bCs/>
          <w:color w:val="000000"/>
          <w:sz w:val="22"/>
          <w:szCs w:val="22"/>
        </w:rPr>
        <w:t xml:space="preserve">fabricarea produselor chimice, farmaceutice; </w:t>
      </w:r>
    </w:p>
    <w:p>
      <w:pPr>
        <w:pStyle w:val="ListParagraph"/>
        <w:widowControl w:val="false"/>
        <w:numPr>
          <w:ilvl w:val="0"/>
          <w:numId w:val="3"/>
        </w:numPr>
        <w:spacing w:before="0" w:after="0"/>
        <w:jc w:val="both"/>
        <w:rPr>
          <w:rFonts w:ascii="Trebuchet MS" w:hAnsi="Trebuchet MS"/>
          <w:sz w:val="22"/>
          <w:szCs w:val="22"/>
        </w:rPr>
      </w:pPr>
      <w:r>
        <w:rPr>
          <w:rFonts w:cs="Trebuchet MS" w:ascii="Trebuchet MS" w:hAnsi="Trebuchet MS"/>
          <w:bCs/>
          <w:color w:val="000000"/>
          <w:sz w:val="22"/>
          <w:szCs w:val="22"/>
        </w:rPr>
        <w:t xml:space="preserve">activități de prelucrare a produselor lemnoase; </w:t>
      </w:r>
    </w:p>
    <w:p>
      <w:pPr>
        <w:pStyle w:val="ListParagraph"/>
        <w:widowControl w:val="false"/>
        <w:numPr>
          <w:ilvl w:val="0"/>
          <w:numId w:val="3"/>
        </w:numPr>
        <w:spacing w:before="0" w:after="0"/>
        <w:jc w:val="both"/>
        <w:rPr>
          <w:rFonts w:ascii="Trebuchet MS" w:hAnsi="Trebuchet MS"/>
          <w:sz w:val="22"/>
          <w:szCs w:val="22"/>
        </w:rPr>
      </w:pPr>
      <w:r>
        <w:rPr>
          <w:rFonts w:cs="Trebuchet MS" w:ascii="Trebuchet MS" w:hAnsi="Trebuchet MS"/>
          <w:bCs/>
          <w:color w:val="000000"/>
          <w:sz w:val="22"/>
          <w:szCs w:val="22"/>
        </w:rPr>
        <w:t xml:space="preserve">industrie metalurgică, fabricare construcții metalice, mașini, utilaje și echipamente; </w:t>
      </w:r>
    </w:p>
    <w:p>
      <w:pPr>
        <w:pStyle w:val="ListParagraph"/>
        <w:widowControl w:val="false"/>
        <w:numPr>
          <w:ilvl w:val="0"/>
          <w:numId w:val="3"/>
        </w:numPr>
        <w:spacing w:before="0" w:after="0"/>
        <w:jc w:val="both"/>
        <w:rPr>
          <w:rFonts w:ascii="Trebuchet MS" w:hAnsi="Trebuchet MS"/>
          <w:sz w:val="22"/>
          <w:szCs w:val="22"/>
        </w:rPr>
      </w:pPr>
      <w:r>
        <w:rPr>
          <w:rFonts w:cs="Trebuchet MS" w:ascii="Trebuchet MS" w:hAnsi="Trebuchet MS"/>
          <w:bCs/>
          <w:color w:val="000000"/>
          <w:sz w:val="22"/>
          <w:szCs w:val="22"/>
        </w:rPr>
        <w:t xml:space="preserve">fabricare produse electrice, electronice, </w:t>
      </w:r>
    </w:p>
    <w:p>
      <w:pPr>
        <w:pStyle w:val="ListParagraph"/>
        <w:widowControl w:val="false"/>
        <w:numPr>
          <w:ilvl w:val="0"/>
          <w:numId w:val="3"/>
        </w:numPr>
        <w:spacing w:before="0" w:after="0"/>
        <w:jc w:val="both"/>
        <w:rPr>
          <w:rFonts w:ascii="Trebuchet MS" w:hAnsi="Trebuchet MS"/>
          <w:sz w:val="22"/>
          <w:szCs w:val="22"/>
        </w:rPr>
      </w:pPr>
      <w:r>
        <w:rPr>
          <w:rFonts w:cs="Trebuchet MS" w:ascii="Trebuchet MS" w:hAnsi="Trebuchet MS"/>
          <w:bCs/>
          <w:color w:val="000000"/>
          <w:sz w:val="22"/>
          <w:szCs w:val="22"/>
        </w:rPr>
        <w:t>producerea de produse electrice, electronice, și metalice, mașini, utilaje și echipamente, producția de carton etc.</w:t>
      </w:r>
    </w:p>
    <w:p>
      <w:pPr>
        <w:pStyle w:val="Normal"/>
        <w:spacing w:before="0" w:after="0"/>
        <w:jc w:val="both"/>
        <w:rPr>
          <w:rFonts w:ascii="Trebuchet MS" w:hAnsi="Trebuchet MS"/>
          <w:sz w:val="22"/>
          <w:szCs w:val="22"/>
        </w:rPr>
      </w:pPr>
      <w:r>
        <w:rPr>
          <w:rFonts w:cs="Trebuchet MS" w:ascii="Trebuchet MS" w:hAnsi="Trebuchet MS"/>
          <w:bCs/>
          <w:color w:val="000000"/>
          <w:sz w:val="22"/>
          <w:szCs w:val="22"/>
        </w:rPr>
        <w:t xml:space="preserve">Investiții pentru </w:t>
      </w:r>
      <w:r>
        <w:rPr>
          <w:rFonts w:cs="Trebuchet MS" w:ascii="Trebuchet MS" w:hAnsi="Trebuchet MS"/>
          <w:b/>
          <w:bCs/>
          <w:color w:val="000000"/>
          <w:sz w:val="22"/>
          <w:szCs w:val="22"/>
        </w:rPr>
        <w:t>activități meșteșugărești</w:t>
      </w:r>
      <w:r>
        <w:rPr>
          <w:rFonts w:cs="Trebuchet MS" w:ascii="Trebuchet MS" w:hAnsi="Trebuchet MS"/>
          <w:bCs/>
          <w:color w:val="000000"/>
          <w:sz w:val="22"/>
          <w:szCs w:val="22"/>
        </w:rPr>
        <w:t xml:space="preserve">: </w:t>
      </w:r>
    </w:p>
    <w:p>
      <w:pPr>
        <w:pStyle w:val="ListParagraph"/>
        <w:widowControl w:val="false"/>
        <w:numPr>
          <w:ilvl w:val="0"/>
          <w:numId w:val="3"/>
        </w:numPr>
        <w:spacing w:before="0" w:after="0"/>
        <w:jc w:val="both"/>
        <w:rPr>
          <w:rFonts w:ascii="Trebuchet MS" w:hAnsi="Trebuchet MS"/>
          <w:sz w:val="22"/>
          <w:szCs w:val="22"/>
        </w:rPr>
      </w:pPr>
      <w:r>
        <w:rPr>
          <w:rFonts w:cs="Trebuchet MS" w:ascii="Trebuchet MS" w:hAnsi="Trebuchet MS"/>
          <w:bCs/>
          <w:color w:val="000000"/>
          <w:sz w:val="22"/>
          <w:szCs w:val="22"/>
        </w:rPr>
        <w:t xml:space="preserve">activități de artizanat și alte activități tradiționale non-agricole (olărit, brodat, prelucrarea manuală a fierului, lânii, lemnului, pielii etc.) </w:t>
      </w:r>
    </w:p>
    <w:p>
      <w:pPr>
        <w:pStyle w:val="Normal"/>
        <w:spacing w:before="0" w:after="0"/>
        <w:jc w:val="both"/>
        <w:rPr>
          <w:rFonts w:ascii="Trebuchet MS" w:hAnsi="Trebuchet MS"/>
          <w:sz w:val="22"/>
          <w:szCs w:val="22"/>
        </w:rPr>
      </w:pPr>
      <w:r>
        <w:rPr>
          <w:rFonts w:cs="Trebuchet MS" w:ascii="Trebuchet MS" w:hAnsi="Trebuchet MS"/>
          <w:bCs/>
          <w:color w:val="000000"/>
          <w:sz w:val="22"/>
          <w:szCs w:val="22"/>
        </w:rPr>
        <w:t xml:space="preserve">Investiții legate de </w:t>
      </w:r>
      <w:r>
        <w:rPr>
          <w:rFonts w:cs="Trebuchet MS" w:ascii="Trebuchet MS" w:hAnsi="Trebuchet MS"/>
          <w:b/>
          <w:bCs/>
          <w:color w:val="000000"/>
          <w:sz w:val="22"/>
          <w:szCs w:val="22"/>
        </w:rPr>
        <w:t>furnizarea de servicii</w:t>
      </w:r>
      <w:r>
        <w:rPr>
          <w:rFonts w:cs="Trebuchet MS" w:ascii="Trebuchet MS" w:hAnsi="Trebuchet MS"/>
          <w:bCs/>
          <w:color w:val="000000"/>
          <w:sz w:val="22"/>
          <w:szCs w:val="22"/>
        </w:rPr>
        <w:t xml:space="preserve">: </w:t>
      </w:r>
    </w:p>
    <w:p>
      <w:pPr>
        <w:pStyle w:val="ListParagraph"/>
        <w:widowControl w:val="false"/>
        <w:numPr>
          <w:ilvl w:val="0"/>
          <w:numId w:val="3"/>
        </w:numPr>
        <w:spacing w:before="0" w:after="0"/>
        <w:jc w:val="both"/>
        <w:rPr>
          <w:rFonts w:ascii="Trebuchet MS" w:hAnsi="Trebuchet MS"/>
          <w:sz w:val="22"/>
          <w:szCs w:val="22"/>
        </w:rPr>
      </w:pPr>
      <w:r>
        <w:rPr>
          <w:rFonts w:cs="Trebuchet MS" w:ascii="Trebuchet MS" w:hAnsi="Trebuchet MS"/>
          <w:bCs/>
          <w:color w:val="000000"/>
          <w:sz w:val="22"/>
          <w:szCs w:val="22"/>
        </w:rPr>
        <w:t xml:space="preserve">servicii medicale, sociale, sanitar-veterinare; </w:t>
      </w:r>
    </w:p>
    <w:p>
      <w:pPr>
        <w:pStyle w:val="ListParagraph"/>
        <w:widowControl w:val="false"/>
        <w:numPr>
          <w:ilvl w:val="0"/>
          <w:numId w:val="3"/>
        </w:numPr>
        <w:spacing w:before="0" w:after="0"/>
        <w:jc w:val="both"/>
        <w:rPr>
          <w:rFonts w:ascii="Trebuchet MS" w:hAnsi="Trebuchet MS"/>
          <w:sz w:val="22"/>
          <w:szCs w:val="22"/>
        </w:rPr>
      </w:pPr>
      <w:r>
        <w:rPr>
          <w:rFonts w:cs="Trebuchet MS" w:ascii="Trebuchet MS" w:hAnsi="Trebuchet MS"/>
          <w:bCs/>
          <w:color w:val="000000"/>
          <w:sz w:val="22"/>
          <w:szCs w:val="22"/>
        </w:rPr>
        <w:t xml:space="preserve">servicii de reparații mașini, unelte, obiecte casnice; </w:t>
      </w:r>
    </w:p>
    <w:p>
      <w:pPr>
        <w:pStyle w:val="ListParagraph"/>
        <w:widowControl w:val="false"/>
        <w:numPr>
          <w:ilvl w:val="0"/>
          <w:numId w:val="3"/>
        </w:numPr>
        <w:spacing w:before="0" w:after="0"/>
        <w:jc w:val="both"/>
        <w:rPr>
          <w:rFonts w:ascii="Trebuchet MS" w:hAnsi="Trebuchet MS"/>
          <w:sz w:val="22"/>
          <w:szCs w:val="22"/>
        </w:rPr>
      </w:pPr>
      <w:r>
        <w:rPr>
          <w:rFonts w:cs="Trebuchet MS" w:ascii="Trebuchet MS" w:hAnsi="Trebuchet MS"/>
          <w:bCs/>
          <w:color w:val="000000"/>
          <w:sz w:val="22"/>
          <w:szCs w:val="22"/>
        </w:rPr>
        <w:t xml:space="preserve">servicii de consultanță, contabilitate, juridice, audit; </w:t>
      </w:r>
    </w:p>
    <w:p>
      <w:pPr>
        <w:pStyle w:val="ListParagraph"/>
        <w:widowControl w:val="false"/>
        <w:numPr>
          <w:ilvl w:val="0"/>
          <w:numId w:val="3"/>
        </w:numPr>
        <w:spacing w:before="0" w:after="0"/>
        <w:jc w:val="both"/>
        <w:rPr>
          <w:rFonts w:ascii="Trebuchet MS" w:hAnsi="Trebuchet MS"/>
          <w:sz w:val="22"/>
          <w:szCs w:val="22"/>
        </w:rPr>
      </w:pPr>
      <w:r>
        <w:rPr>
          <w:rFonts w:cs="Trebuchet MS" w:ascii="Trebuchet MS" w:hAnsi="Trebuchet MS"/>
          <w:bCs/>
          <w:color w:val="000000"/>
          <w:sz w:val="22"/>
          <w:szCs w:val="22"/>
        </w:rPr>
        <w:t xml:space="preserve">activități de servicii în tehnologia informației și servicii informatice; </w:t>
      </w:r>
    </w:p>
    <w:p>
      <w:pPr>
        <w:pStyle w:val="ListParagraph"/>
        <w:widowControl w:val="false"/>
        <w:numPr>
          <w:ilvl w:val="0"/>
          <w:numId w:val="3"/>
        </w:numPr>
        <w:spacing w:before="0" w:after="0"/>
        <w:jc w:val="both"/>
        <w:rPr>
          <w:rFonts w:ascii="Trebuchet MS" w:hAnsi="Trebuchet MS"/>
          <w:sz w:val="22"/>
          <w:szCs w:val="22"/>
        </w:rPr>
      </w:pPr>
      <w:r>
        <w:rPr>
          <w:rFonts w:cs="Trebuchet MS" w:ascii="Trebuchet MS" w:hAnsi="Trebuchet MS"/>
          <w:bCs/>
          <w:color w:val="000000"/>
          <w:sz w:val="22"/>
          <w:szCs w:val="22"/>
        </w:rPr>
        <w:t>servicii tehnice, administrative, etc.</w:t>
      </w:r>
    </w:p>
    <w:p>
      <w:pPr>
        <w:pStyle w:val="Normal"/>
        <w:spacing w:before="0" w:after="0"/>
        <w:jc w:val="both"/>
        <w:rPr>
          <w:rFonts w:ascii="Trebuchet MS" w:hAnsi="Trebuchet MS"/>
          <w:sz w:val="22"/>
          <w:szCs w:val="22"/>
        </w:rPr>
      </w:pPr>
      <w:r>
        <w:rPr>
          <w:rFonts w:ascii="Trebuchet MS" w:hAnsi="Trebuchet MS"/>
          <w:bCs/>
          <w:sz w:val="22"/>
          <w:szCs w:val="22"/>
        </w:rPr>
        <w:t xml:space="preserve">Investiții pentru infrastructură în </w:t>
      </w:r>
      <w:r>
        <w:rPr>
          <w:rFonts w:ascii="Trebuchet MS" w:hAnsi="Trebuchet MS"/>
          <w:b/>
          <w:bCs/>
          <w:sz w:val="22"/>
          <w:szCs w:val="22"/>
        </w:rPr>
        <w:t>unitățile de primire turistică de tip agro-turistic</w:t>
      </w:r>
      <w:r>
        <w:rPr>
          <w:rFonts w:ascii="Trebuchet MS" w:hAnsi="Trebuchet MS"/>
          <w:bCs/>
          <w:sz w:val="22"/>
          <w:szCs w:val="22"/>
        </w:rPr>
        <w:t>, proiecte de activități de agrement și alimentație publică</w:t>
      </w:r>
      <w:r>
        <w:rPr>
          <w:rFonts w:ascii="Trebuchet MS" w:hAnsi="Trebuchet MS"/>
          <w:bCs/>
          <w:color w:val="000000"/>
          <w:sz w:val="22"/>
          <w:szCs w:val="22"/>
        </w:rPr>
        <w:t>;</w:t>
      </w:r>
    </w:p>
    <w:p>
      <w:pPr>
        <w:pStyle w:val="Normal"/>
        <w:spacing w:before="0" w:after="0"/>
        <w:jc w:val="both"/>
        <w:rPr>
          <w:rFonts w:ascii="Trebuchet MS" w:hAnsi="Trebuchet MS"/>
          <w:sz w:val="22"/>
          <w:szCs w:val="22"/>
        </w:rPr>
      </w:pPr>
      <w:r>
        <w:rPr>
          <w:rFonts w:ascii="Trebuchet MS" w:hAnsi="Trebuchet MS"/>
          <w:bCs/>
          <w:sz w:val="22"/>
          <w:szCs w:val="22"/>
        </w:rPr>
        <w:t xml:space="preserve">Investiții pentru </w:t>
      </w:r>
      <w:r>
        <w:rPr>
          <w:rFonts w:ascii="Trebuchet MS" w:hAnsi="Trebuchet MS"/>
          <w:b/>
          <w:bCs/>
          <w:sz w:val="22"/>
          <w:szCs w:val="22"/>
        </w:rPr>
        <w:t>producția de combustibil din biomasă</w:t>
      </w:r>
      <w:r>
        <w:rPr>
          <w:rFonts w:ascii="Trebuchet MS" w:hAnsi="Trebuchet MS"/>
          <w:bCs/>
          <w:sz w:val="22"/>
          <w:szCs w:val="22"/>
        </w:rPr>
        <w:t xml:space="preserve"> (ex.: fabricare de peleți și brichete) în vederea comercializării.</w:t>
      </w:r>
    </w:p>
    <w:p>
      <w:pPr>
        <w:pStyle w:val="Normal"/>
        <w:spacing w:before="0" w:after="0"/>
        <w:jc w:val="both"/>
        <w:rPr>
          <w:rFonts w:ascii="Trebuchet MS" w:hAnsi="Trebuchet MS"/>
          <w:sz w:val="22"/>
          <w:szCs w:val="22"/>
        </w:rPr>
      </w:pPr>
      <w:r>
        <w:rPr>
          <w:rFonts w:ascii="Trebuchet MS" w:hAnsi="Trebuchet MS"/>
          <w:b/>
          <w:bCs/>
          <w:sz w:val="22"/>
          <w:szCs w:val="22"/>
        </w:rPr>
        <w:t>Acțiuni neeligibile:</w:t>
      </w:r>
    </w:p>
    <w:p>
      <w:pPr>
        <w:pStyle w:val="Default"/>
        <w:numPr>
          <w:ilvl w:val="0"/>
          <w:numId w:val="3"/>
        </w:numPr>
        <w:spacing w:lineRule="auto" w:line="276"/>
        <w:jc w:val="both"/>
        <w:rPr>
          <w:sz w:val="22"/>
          <w:szCs w:val="22"/>
        </w:rPr>
      </w:pPr>
      <w:r>
        <w:rPr>
          <w:bCs/>
          <w:color w:val="00000A"/>
          <w:sz w:val="22"/>
          <w:szCs w:val="22"/>
        </w:rPr>
        <w:t>Prestarea de servicii agricole;</w:t>
      </w:r>
    </w:p>
    <w:p>
      <w:pPr>
        <w:pStyle w:val="Default"/>
        <w:numPr>
          <w:ilvl w:val="0"/>
          <w:numId w:val="3"/>
        </w:numPr>
        <w:spacing w:lineRule="auto" w:line="276"/>
        <w:jc w:val="both"/>
        <w:rPr>
          <w:sz w:val="22"/>
          <w:szCs w:val="22"/>
        </w:rPr>
      </w:pPr>
      <w:r>
        <w:rPr>
          <w:bCs/>
          <w:color w:val="00000A"/>
          <w:sz w:val="22"/>
          <w:szCs w:val="22"/>
        </w:rPr>
        <w:t>Procesarea și comercializarea produselor prevăzute în Anexa 1 din Tratat;</w:t>
      </w:r>
    </w:p>
    <w:p>
      <w:pPr>
        <w:pStyle w:val="Default"/>
        <w:numPr>
          <w:ilvl w:val="0"/>
          <w:numId w:val="3"/>
        </w:numPr>
        <w:spacing w:lineRule="auto" w:line="276"/>
        <w:jc w:val="both"/>
        <w:rPr>
          <w:sz w:val="22"/>
          <w:szCs w:val="22"/>
        </w:rPr>
      </w:pPr>
      <w:r>
        <w:rPr>
          <w:rFonts w:cs="Calibri"/>
          <w:bCs/>
          <w:color w:val="00000A"/>
          <w:sz w:val="22"/>
          <w:szCs w:val="22"/>
        </w:rPr>
        <w:t>Producția de electricitate din biomasă ca și activitate economică.</w:t>
      </w:r>
    </w:p>
    <w:p>
      <w:pPr>
        <w:pStyle w:val="Default"/>
        <w:shd w:val="clear" w:color="auto" w:fill="E5DFEC" w:themeFill="accent4" w:themeFillTint="33"/>
        <w:spacing w:lineRule="auto" w:line="276"/>
        <w:rPr>
          <w:sz w:val="22"/>
          <w:szCs w:val="22"/>
        </w:rPr>
      </w:pPr>
      <w:r>
        <w:rPr>
          <w:b/>
          <w:bCs/>
          <w:sz w:val="22"/>
          <w:szCs w:val="22"/>
        </w:rPr>
        <w:t xml:space="preserve">7. Condiții de eligibilitate </w:t>
      </w:r>
    </w:p>
    <w:p>
      <w:pPr>
        <w:pStyle w:val="Default"/>
        <w:spacing w:lineRule="auto" w:line="276"/>
        <w:jc w:val="both"/>
        <w:rPr>
          <w:sz w:val="22"/>
          <w:szCs w:val="22"/>
        </w:rPr>
      </w:pPr>
      <w:r>
        <w:rPr>
          <w:sz w:val="22"/>
          <w:szCs w:val="22"/>
        </w:rPr>
        <w:t>- Investiția trebuie să se încadreze în cel puțin unul din tipurile de sprijin prevăzute prin măsură;</w:t>
      </w:r>
    </w:p>
    <w:p>
      <w:pPr>
        <w:pStyle w:val="Default"/>
        <w:spacing w:lineRule="auto" w:line="276"/>
        <w:jc w:val="both"/>
        <w:rPr>
          <w:sz w:val="22"/>
          <w:szCs w:val="22"/>
        </w:rPr>
      </w:pPr>
      <w:r>
        <w:rPr>
          <w:sz w:val="22"/>
          <w:szCs w:val="22"/>
        </w:rPr>
        <w:t>- Solicitantul trebuie să își desfășoare activitatea aferentă investiției finanțate în teritoriul GAL;</w:t>
      </w:r>
    </w:p>
    <w:p>
      <w:pPr>
        <w:pStyle w:val="Default"/>
        <w:spacing w:lineRule="auto" w:line="276"/>
        <w:jc w:val="both"/>
        <w:rPr>
          <w:sz w:val="22"/>
          <w:szCs w:val="22"/>
        </w:rPr>
      </w:pPr>
      <w:r>
        <w:rPr>
          <w:sz w:val="22"/>
          <w:szCs w:val="22"/>
        </w:rPr>
        <w:t>- Solicitantul trebuie să demonstreze capacitatea de a asigura cofinanțarea investiției;</w:t>
      </w:r>
    </w:p>
    <w:p>
      <w:pPr>
        <w:pStyle w:val="Default"/>
        <w:spacing w:lineRule="auto" w:line="276"/>
        <w:jc w:val="both"/>
        <w:rPr>
          <w:sz w:val="22"/>
          <w:szCs w:val="22"/>
        </w:rPr>
      </w:pPr>
      <w:r>
        <w:rPr>
          <w:sz w:val="22"/>
          <w:szCs w:val="22"/>
        </w:rPr>
        <w:t>- Viabilitatea economică a investiției trebuie să fie demonstrată pe baza prezentării unei documentații tehnico-economice;</w:t>
      </w:r>
    </w:p>
    <w:p>
      <w:pPr>
        <w:pStyle w:val="Default"/>
        <w:spacing w:lineRule="auto" w:line="276"/>
        <w:jc w:val="both"/>
        <w:rPr>
          <w:sz w:val="22"/>
          <w:szCs w:val="22"/>
        </w:rPr>
      </w:pPr>
      <w:r>
        <w:rPr>
          <w:sz w:val="22"/>
          <w:szCs w:val="22"/>
        </w:rPr>
        <w:t>- Întreprinderea nu trebuie să fie în dificultate în conformitate cu Liniile directoare privind ajutorul de stat pentru salvarea și restructurarea întreprinderilor în dificultate;</w:t>
      </w:r>
    </w:p>
    <w:p>
      <w:pPr>
        <w:pStyle w:val="ListParagraph"/>
        <w:spacing w:before="0" w:after="0"/>
        <w:ind w:left="0" w:hanging="0"/>
        <w:jc w:val="both"/>
        <w:rPr>
          <w:rFonts w:ascii="Trebuchet MS" w:hAnsi="Trebuchet MS"/>
          <w:sz w:val="22"/>
          <w:szCs w:val="22"/>
        </w:rPr>
      </w:pPr>
      <w:r>
        <w:rPr>
          <w:rFonts w:cs="Trebuchet MS" w:ascii="Trebuchet MS" w:hAnsi="Trebuchet MS"/>
          <w:color w:val="000000"/>
          <w:sz w:val="22"/>
          <w:szCs w:val="22"/>
        </w:rPr>
        <w:t>- Beneficiarul trebuie să dovedească dreptul de proprietate asupra terenului pe care urmează să realizeze investiția sau dreptul de folosință pe o perioada de cel puțin 10 ani;</w:t>
      </w:r>
    </w:p>
    <w:p>
      <w:pPr>
        <w:pStyle w:val="ListParagraph"/>
        <w:spacing w:before="0" w:after="0"/>
        <w:ind w:left="0" w:hanging="0"/>
        <w:jc w:val="both"/>
        <w:rPr>
          <w:rFonts w:ascii="Trebuchet MS" w:hAnsi="Trebuchet MS"/>
          <w:sz w:val="22"/>
          <w:szCs w:val="22"/>
        </w:rPr>
      </w:pPr>
      <w:bookmarkStart w:id="0" w:name="_GoBack"/>
      <w:bookmarkEnd w:id="0"/>
      <w:r>
        <w:rPr>
          <w:rFonts w:cs="Trebuchet MS" w:ascii="Trebuchet MS" w:hAnsi="Trebuchet MS"/>
          <w:color w:val="000000"/>
          <w:sz w:val="22"/>
          <w:szCs w:val="22"/>
        </w:rPr>
        <w:t>- În cazul investițiilor în agro-turism, beneficiarul/membrul gospodăriei agricole trebuie să desfășoare o activitate agricolă în momentul aplicării;</w:t>
      </w:r>
    </w:p>
    <w:p>
      <w:pPr>
        <w:pStyle w:val="ListParagraph"/>
        <w:spacing w:before="0" w:after="0"/>
        <w:ind w:left="0" w:hanging="0"/>
        <w:jc w:val="both"/>
        <w:rPr>
          <w:rFonts w:ascii="Trebuchet MS" w:hAnsi="Trebuchet MS"/>
          <w:sz w:val="22"/>
          <w:szCs w:val="22"/>
        </w:rPr>
      </w:pPr>
      <w:r>
        <w:rPr>
          <w:rFonts w:cs="Trebuchet MS" w:ascii="Trebuchet MS" w:hAnsi="Trebuchet MS"/>
          <w:color w:val="000000"/>
          <w:sz w:val="22"/>
          <w:szCs w:val="22"/>
        </w:rPr>
        <w:t>- Structurile de primire turistice rurale vor fi în conformitate cu normele de clasificare prevăzute în legislația naționala în vigoare;</w:t>
      </w:r>
    </w:p>
    <w:p>
      <w:pPr>
        <w:pStyle w:val="ListParagraph"/>
        <w:spacing w:before="0" w:after="0"/>
        <w:ind w:left="0" w:hanging="0"/>
        <w:jc w:val="both"/>
        <w:rPr>
          <w:rFonts w:ascii="Trebuchet MS" w:hAnsi="Trebuchet MS"/>
          <w:sz w:val="22"/>
          <w:szCs w:val="22"/>
        </w:rPr>
      </w:pPr>
      <w:r>
        <w:rPr>
          <w:rFonts w:cs="Trebuchet MS" w:ascii="Trebuchet MS" w:hAnsi="Trebuchet MS"/>
          <w:color w:val="000000"/>
          <w:sz w:val="22"/>
          <w:szCs w:val="22"/>
        </w:rPr>
        <w:t xml:space="preserve">- </w:t>
      </w:r>
      <w:r>
        <w:rPr>
          <w:rFonts w:ascii="Trebuchet MS" w:hAnsi="Trebuchet MS"/>
          <w:color w:val="000000"/>
          <w:sz w:val="22"/>
          <w:szCs w:val="22"/>
        </w:rPr>
        <w:t>Investiția va fi precedată de o evaluare a impactului preconizat asupra mediului și dacă aceasta poate avea efecte negative asupra mediului, în conformitate cu legislația în vigoare menționată în capitolul 8.1.</w:t>
      </w:r>
    </w:p>
    <w:p>
      <w:pPr>
        <w:pStyle w:val="Default"/>
        <w:shd w:val="clear" w:color="auto" w:fill="E5DFEC" w:themeFill="accent4" w:themeFillTint="33"/>
        <w:spacing w:lineRule="auto" w:line="276"/>
        <w:rPr>
          <w:b/>
          <w:b/>
          <w:bCs/>
          <w:sz w:val="22"/>
          <w:szCs w:val="22"/>
        </w:rPr>
      </w:pPr>
      <w:r>
        <w:rPr>
          <w:b/>
          <w:bCs/>
          <w:sz w:val="22"/>
          <w:szCs w:val="22"/>
        </w:rPr>
        <w:t>8. Criterii de selecție</w:t>
      </w:r>
    </w:p>
    <w:p>
      <w:pPr>
        <w:pStyle w:val="Default"/>
        <w:spacing w:lineRule="auto" w:line="276"/>
        <w:jc w:val="both"/>
        <w:rPr>
          <w:sz w:val="22"/>
          <w:szCs w:val="22"/>
        </w:rPr>
      </w:pPr>
      <w:r>
        <w:rPr>
          <w:b/>
          <w:bCs/>
          <w:sz w:val="22"/>
          <w:szCs w:val="22"/>
        </w:rPr>
        <w:t xml:space="preserve">1. Principiul valorificării caracterului inovator al investițiilor propuse, </w:t>
      </w:r>
      <w:r>
        <w:rPr>
          <w:sz w:val="22"/>
          <w:szCs w:val="22"/>
          <w:lang w:val="en-US"/>
        </w:rPr>
        <w:t>prin</w:t>
      </w:r>
      <w:r>
        <w:rPr>
          <w:b/>
          <w:bCs/>
          <w:sz w:val="22"/>
          <w:szCs w:val="22"/>
          <w:lang w:val="en-US"/>
        </w:rPr>
        <w:t xml:space="preserve"> </w:t>
      </w:r>
      <w:r>
        <w:rPr>
          <w:sz w:val="22"/>
          <w:szCs w:val="22"/>
        </w:rPr>
        <w:t>proiecte ce vizează inovare/diversificare de produs/serviciu/proces.</w:t>
      </w:r>
    </w:p>
    <w:p>
      <w:pPr>
        <w:pStyle w:val="Default"/>
        <w:spacing w:lineRule="auto" w:line="276"/>
        <w:jc w:val="both"/>
        <w:rPr>
          <w:sz w:val="22"/>
          <w:szCs w:val="22"/>
        </w:rPr>
      </w:pPr>
      <w:r>
        <w:rPr>
          <w:b/>
          <w:bCs/>
          <w:sz w:val="22"/>
          <w:szCs w:val="22"/>
        </w:rPr>
        <w:t xml:space="preserve">2. Principiul creării de noi locuri de muncă, </w:t>
      </w:r>
      <w:r>
        <w:rPr>
          <w:sz w:val="22"/>
          <w:szCs w:val="22"/>
          <w:lang w:val="en-US"/>
        </w:rPr>
        <w:t>prin</w:t>
      </w:r>
      <w:r>
        <w:rPr>
          <w:b/>
          <w:bCs/>
          <w:sz w:val="22"/>
          <w:szCs w:val="22"/>
          <w:lang w:val="en-US"/>
        </w:rPr>
        <w:t xml:space="preserve"> </w:t>
      </w:r>
      <w:r>
        <w:rPr>
          <w:sz w:val="22"/>
          <w:szCs w:val="22"/>
          <w:lang w:val="en-US"/>
        </w:rPr>
        <w:t xml:space="preserve">proiecte ce </w:t>
      </w:r>
      <w:r>
        <w:rPr>
          <w:sz w:val="22"/>
          <w:szCs w:val="22"/>
        </w:rPr>
        <w:t>vizează crearea de noi locuri de muncă.</w:t>
      </w:r>
    </w:p>
    <w:p>
      <w:pPr>
        <w:pStyle w:val="Default"/>
        <w:spacing w:lineRule="auto" w:line="276"/>
        <w:jc w:val="both"/>
        <w:rPr>
          <w:sz w:val="22"/>
          <w:szCs w:val="22"/>
        </w:rPr>
      </w:pPr>
      <w:r>
        <w:rPr>
          <w:b/>
          <w:bCs/>
          <w:sz w:val="22"/>
          <w:szCs w:val="22"/>
          <w:lang w:val="en-US"/>
        </w:rPr>
        <w:t xml:space="preserve">3. Principiul </w:t>
      </w:r>
      <w:r>
        <w:rPr>
          <w:b/>
          <w:bCs/>
          <w:sz w:val="22"/>
          <w:szCs w:val="22"/>
        </w:rPr>
        <w:t>stimulării</w:t>
      </w:r>
      <w:r>
        <w:rPr>
          <w:b/>
          <w:bCs/>
          <w:sz w:val="22"/>
          <w:szCs w:val="22"/>
          <w:lang w:val="en-US"/>
        </w:rPr>
        <w:t xml:space="preserve"> dezvolt</w:t>
      </w:r>
      <w:r>
        <w:rPr>
          <w:b/>
          <w:bCs/>
          <w:sz w:val="22"/>
          <w:szCs w:val="22"/>
        </w:rPr>
        <w:t>ării</w:t>
      </w:r>
      <w:r>
        <w:rPr>
          <w:b/>
          <w:bCs/>
          <w:sz w:val="22"/>
          <w:szCs w:val="22"/>
          <w:lang w:val="en-US"/>
        </w:rPr>
        <w:t xml:space="preserve"> durabil</w:t>
      </w:r>
      <w:r>
        <w:rPr>
          <w:b/>
          <w:bCs/>
          <w:sz w:val="22"/>
          <w:szCs w:val="22"/>
        </w:rPr>
        <w:t xml:space="preserve">e, </w:t>
      </w:r>
      <w:r>
        <w:rPr>
          <w:sz w:val="22"/>
          <w:szCs w:val="22"/>
          <w:lang w:val="en-US"/>
        </w:rPr>
        <w:t>prin</w:t>
      </w:r>
      <w:r>
        <w:rPr>
          <w:b/>
          <w:bCs/>
          <w:sz w:val="22"/>
          <w:szCs w:val="22"/>
          <w:lang w:val="en-US"/>
        </w:rPr>
        <w:t xml:space="preserve"> </w:t>
      </w:r>
      <w:r>
        <w:rPr>
          <w:sz w:val="22"/>
          <w:szCs w:val="22"/>
          <w:lang w:val="en-US"/>
        </w:rPr>
        <w:t>proiecte ce vizeaz</w:t>
      </w:r>
      <w:r>
        <w:rPr>
          <w:sz w:val="22"/>
          <w:szCs w:val="22"/>
        </w:rPr>
        <w:t xml:space="preserve">ă măsuri de îmbunătățire a calității mediului înconjurător și de creștere a eficienței energetice, prin: </w:t>
      </w:r>
      <w:r>
        <w:rPr>
          <w:i/>
          <w:iCs/>
          <w:sz w:val="22"/>
          <w:szCs w:val="22"/>
          <w:lang w:val="en-US"/>
        </w:rPr>
        <w:t xml:space="preserve">utilizarea surselor regenerabile de energii; retehnologizarea </w:t>
      </w:r>
      <w:r>
        <w:rPr>
          <w:i/>
          <w:iCs/>
          <w:sz w:val="22"/>
          <w:szCs w:val="22"/>
        </w:rPr>
        <w:t xml:space="preserve">și/sau înlocuirea echipamentelor cu unele mai eficiente energetic; </w:t>
      </w:r>
      <w:r>
        <w:rPr>
          <w:i/>
          <w:iCs/>
          <w:sz w:val="22"/>
          <w:szCs w:val="22"/>
          <w:lang w:val="en-US"/>
        </w:rPr>
        <w:t>colectarea selectiv</w:t>
      </w:r>
      <w:r>
        <w:rPr>
          <w:i/>
          <w:iCs/>
          <w:sz w:val="22"/>
          <w:szCs w:val="22"/>
        </w:rPr>
        <w:t>ă și creșterea gradului de recuperare și reciclare a deșeurilor.</w:t>
      </w:r>
    </w:p>
    <w:p>
      <w:pPr>
        <w:pStyle w:val="Default"/>
        <w:spacing w:lineRule="auto" w:line="276"/>
        <w:jc w:val="both"/>
        <w:rPr>
          <w:sz w:val="22"/>
          <w:szCs w:val="22"/>
        </w:rPr>
      </w:pPr>
      <w:r>
        <w:rPr>
          <w:b/>
          <w:bCs/>
          <w:sz w:val="22"/>
          <w:szCs w:val="22"/>
        </w:rPr>
        <w:t xml:space="preserve">4. Principiul privind egalitatea de șanse, de gen și nediscriminarea, </w:t>
      </w:r>
      <w:r>
        <w:rPr>
          <w:sz w:val="22"/>
          <w:szCs w:val="22"/>
          <w:lang w:val="en-US"/>
        </w:rPr>
        <w:t xml:space="preserve">prin </w:t>
      </w:r>
      <w:r>
        <w:rPr>
          <w:sz w:val="22"/>
          <w:szCs w:val="22"/>
        </w:rPr>
        <w:t xml:space="preserve">proiecte ce vizează măsuri de asigurare a egalității de șanse și tratament, prin: </w:t>
      </w:r>
      <w:r>
        <w:rPr>
          <w:i/>
          <w:iCs/>
          <w:sz w:val="22"/>
          <w:szCs w:val="22"/>
          <w:lang w:val="en-US"/>
        </w:rPr>
        <w:t>angajarea de persoane din categorii defavorizate.</w:t>
      </w:r>
    </w:p>
    <w:p>
      <w:pPr>
        <w:pStyle w:val="Default"/>
        <w:spacing w:lineRule="auto" w:line="276"/>
        <w:jc w:val="both"/>
        <w:rPr>
          <w:sz w:val="22"/>
          <w:szCs w:val="22"/>
        </w:rPr>
      </w:pPr>
      <w:r>
        <w:rPr>
          <w:b/>
          <w:bCs/>
          <w:sz w:val="22"/>
          <w:szCs w:val="22"/>
        </w:rPr>
        <w:t xml:space="preserve">5. Principiul favorizării utilizării noilor tehnologii, </w:t>
      </w:r>
      <w:r>
        <w:rPr>
          <w:sz w:val="22"/>
          <w:szCs w:val="22"/>
          <w:lang w:val="en-US"/>
        </w:rPr>
        <w:t xml:space="preserve">prin </w:t>
      </w:r>
      <w:r>
        <w:rPr>
          <w:sz w:val="22"/>
          <w:szCs w:val="22"/>
        </w:rPr>
        <w:t>proiecte ce vizează investiții în echipamente tehnologice și echipamente IT, inclusiv software-ul aferent.</w:t>
      </w:r>
    </w:p>
    <w:p>
      <w:pPr>
        <w:pStyle w:val="Default"/>
        <w:shd w:val="clear" w:color="auto" w:fill="E5DFEC" w:themeFill="accent4" w:themeFillTint="33"/>
        <w:spacing w:lineRule="auto" w:line="276"/>
        <w:rPr>
          <w:b/>
          <w:b/>
          <w:bCs/>
          <w:sz w:val="22"/>
          <w:szCs w:val="22"/>
        </w:rPr>
      </w:pPr>
      <w:r>
        <w:rPr>
          <w:b/>
          <w:bCs/>
          <w:sz w:val="22"/>
          <w:szCs w:val="22"/>
        </w:rPr>
        <w:t>9. Sume (aplicabile) și rata sprijinului</w:t>
      </w:r>
    </w:p>
    <w:p>
      <w:pPr>
        <w:pStyle w:val="Default"/>
        <w:spacing w:lineRule="auto" w:line="276"/>
        <w:jc w:val="both"/>
        <w:rPr>
          <w:sz w:val="22"/>
          <w:szCs w:val="22"/>
        </w:rPr>
      </w:pPr>
      <w:r>
        <w:rPr>
          <w:sz w:val="22"/>
          <w:szCs w:val="22"/>
        </w:rPr>
        <w:t>Sprijinul public nerambursabil va respecta prevederile R 1407/2013 cu privire la sprijinul de minimis și nu va depăși 200.000 de euro/beneficiar pe 3 ani fiscali.</w:t>
      </w:r>
    </w:p>
    <w:p>
      <w:pPr>
        <w:pStyle w:val="Default"/>
        <w:spacing w:lineRule="auto" w:line="276"/>
        <w:jc w:val="both"/>
        <w:rPr>
          <w:sz w:val="22"/>
          <w:szCs w:val="22"/>
        </w:rPr>
      </w:pPr>
      <w:r>
        <w:rPr>
          <w:sz w:val="22"/>
          <w:szCs w:val="22"/>
        </w:rPr>
        <w:t xml:space="preserve">Cuantumul sprijinului este de maxim </w:t>
      </w:r>
      <w:r>
        <w:rPr>
          <w:b/>
          <w:sz w:val="22"/>
          <w:szCs w:val="22"/>
        </w:rPr>
        <w:t>50.000 euro.</w:t>
      </w:r>
    </w:p>
    <w:p>
      <w:pPr>
        <w:pStyle w:val="Default"/>
        <w:numPr>
          <w:ilvl w:val="0"/>
          <w:numId w:val="4"/>
        </w:numPr>
        <w:spacing w:lineRule="auto" w:line="276"/>
        <w:jc w:val="both"/>
        <w:rPr>
          <w:sz w:val="22"/>
          <w:szCs w:val="22"/>
        </w:rPr>
      </w:pPr>
      <w:r>
        <w:rPr>
          <w:sz w:val="22"/>
          <w:szCs w:val="22"/>
        </w:rPr>
        <w:t>Intensitatea sprijinului public nerambursabil este de</w:t>
      </w:r>
      <w:r>
        <w:rPr>
          <w:b/>
          <w:bCs/>
          <w:sz w:val="22"/>
          <w:szCs w:val="22"/>
        </w:rPr>
        <w:t xml:space="preserve"> 70%</w:t>
      </w:r>
      <w:r>
        <w:rPr>
          <w:sz w:val="22"/>
          <w:szCs w:val="22"/>
        </w:rPr>
        <w:t>;</w:t>
      </w:r>
    </w:p>
    <w:p>
      <w:pPr>
        <w:pStyle w:val="Default"/>
        <w:numPr>
          <w:ilvl w:val="0"/>
          <w:numId w:val="4"/>
        </w:numPr>
        <w:spacing w:lineRule="auto" w:line="276"/>
        <w:jc w:val="both"/>
        <w:rPr>
          <w:sz w:val="22"/>
          <w:szCs w:val="22"/>
        </w:rPr>
      </w:pPr>
      <w:r>
        <w:rPr>
          <w:sz w:val="22"/>
          <w:szCs w:val="22"/>
        </w:rPr>
        <w:t>Intensitatea sprijinului public nerambursabil poate crește până la</w:t>
      </w:r>
      <w:r>
        <w:rPr>
          <w:b/>
          <w:bCs/>
          <w:sz w:val="22"/>
          <w:szCs w:val="22"/>
        </w:rPr>
        <w:t xml:space="preserve"> 90%</w:t>
      </w:r>
      <w:r>
        <w:rPr>
          <w:sz w:val="22"/>
          <w:szCs w:val="22"/>
        </w:rPr>
        <w:t xml:space="preserve">, pentru solicitanții care desfășoară </w:t>
      </w:r>
      <w:r>
        <w:rPr>
          <w:b/>
          <w:bCs/>
          <w:i/>
          <w:iCs/>
          <w:sz w:val="22"/>
          <w:szCs w:val="22"/>
        </w:rPr>
        <w:t>activități de producție</w:t>
      </w:r>
      <w:r>
        <w:rPr>
          <w:sz w:val="22"/>
          <w:szCs w:val="22"/>
        </w:rPr>
        <w:t xml:space="preserve">, </w:t>
      </w:r>
      <w:r>
        <w:rPr>
          <w:b/>
          <w:bCs/>
          <w:i/>
          <w:iCs/>
          <w:sz w:val="22"/>
          <w:szCs w:val="22"/>
        </w:rPr>
        <w:t>servicii medicale</w:t>
      </w:r>
      <w:r>
        <w:rPr>
          <w:sz w:val="22"/>
          <w:szCs w:val="22"/>
        </w:rPr>
        <w:t xml:space="preserve">, </w:t>
      </w:r>
      <w:r>
        <w:rPr>
          <w:b/>
          <w:bCs/>
          <w:i/>
          <w:iCs/>
          <w:sz w:val="22"/>
          <w:szCs w:val="22"/>
        </w:rPr>
        <w:t>sanitar-veterinar</w:t>
      </w:r>
      <w:r>
        <w:rPr>
          <w:sz w:val="22"/>
          <w:szCs w:val="22"/>
        </w:rPr>
        <w:t xml:space="preserve">e și </w:t>
      </w:r>
      <w:r>
        <w:rPr>
          <w:b/>
          <w:bCs/>
          <w:i/>
          <w:iCs/>
          <w:sz w:val="22"/>
          <w:szCs w:val="22"/>
        </w:rPr>
        <w:t>agroturism</w:t>
      </w:r>
      <w:r>
        <w:rPr>
          <w:sz w:val="22"/>
          <w:szCs w:val="22"/>
        </w:rPr>
        <w:t xml:space="preserve">, </w:t>
      </w:r>
      <w:r>
        <w:rPr>
          <w:bCs/>
          <w:sz w:val="22"/>
          <w:szCs w:val="22"/>
        </w:rPr>
        <w:t xml:space="preserve">pentru </w:t>
      </w:r>
      <w:r>
        <w:rPr>
          <w:b/>
          <w:bCs/>
          <w:i/>
          <w:iCs/>
          <w:sz w:val="22"/>
          <w:szCs w:val="22"/>
        </w:rPr>
        <w:t>fermierii care își diversifică activitatea de bază agricolă prin dezvoltarea unor activități neagricole</w:t>
      </w:r>
      <w:r>
        <w:rPr>
          <w:sz w:val="22"/>
          <w:szCs w:val="22"/>
        </w:rPr>
        <w:t>.</w:t>
      </w:r>
    </w:p>
    <w:p>
      <w:pPr>
        <w:pStyle w:val="Default"/>
        <w:spacing w:lineRule="auto" w:line="276"/>
        <w:jc w:val="both"/>
        <w:rPr>
          <w:b/>
          <w:b/>
          <w:bCs/>
          <w:sz w:val="22"/>
          <w:szCs w:val="22"/>
        </w:rPr>
      </w:pPr>
      <w:r>
        <w:rPr>
          <w:b/>
          <w:bCs/>
          <w:sz w:val="22"/>
          <w:szCs w:val="22"/>
        </w:rPr>
        <w:t>Aplicarea intensității</w:t>
      </w:r>
      <w:r>
        <w:rPr>
          <w:b/>
          <w:bCs/>
          <w:sz w:val="22"/>
          <w:szCs w:val="22"/>
          <w:lang w:val="en-US"/>
        </w:rPr>
        <w:t xml:space="preserve"> sprijinului </w:t>
      </w:r>
      <w:r>
        <w:rPr>
          <w:b/>
          <w:bCs/>
          <w:sz w:val="22"/>
          <w:szCs w:val="22"/>
        </w:rPr>
        <w:t>s-a bazat pe faptul că această măsură vizează proiecte din categoria operațiunilor generatoare de profit și responsabilizarea beneficiarilor.</w:t>
      </w:r>
    </w:p>
    <w:p>
      <w:pPr>
        <w:pStyle w:val="Default"/>
        <w:shd w:val="clear" w:color="auto" w:fill="E5DFEC" w:themeFill="accent4" w:themeFillTint="33"/>
        <w:spacing w:lineRule="auto" w:line="276"/>
        <w:rPr>
          <w:sz w:val="22"/>
          <w:szCs w:val="22"/>
        </w:rPr>
      </w:pPr>
      <w:r>
        <w:rPr>
          <w:b/>
          <w:bCs/>
          <w:sz w:val="22"/>
          <w:szCs w:val="22"/>
        </w:rPr>
        <w:t xml:space="preserve">10. Indicatori de monitorizare </w:t>
      </w:r>
    </w:p>
    <w:p>
      <w:pPr>
        <w:pStyle w:val="Default"/>
        <w:spacing w:lineRule="auto" w:line="276"/>
        <w:jc w:val="both"/>
        <w:rPr>
          <w:b/>
          <w:b/>
          <w:sz w:val="22"/>
          <w:szCs w:val="22"/>
        </w:rPr>
      </w:pPr>
      <w:r>
        <w:rPr>
          <w:b/>
          <w:sz w:val="22"/>
          <w:szCs w:val="22"/>
        </w:rPr>
        <w:t xml:space="preserve">- Numărul de locuri de muncă create - </w:t>
      </w:r>
      <w:r>
        <w:rPr>
          <w:b/>
          <w:sz w:val="22"/>
          <w:szCs w:val="22"/>
        </w:rPr>
        <w:t>9</w:t>
      </w:r>
      <w:r>
        <w:rPr>
          <w:b/>
          <w:sz w:val="22"/>
          <w:szCs w:val="22"/>
        </w:rPr>
        <w:t>.</w:t>
      </w:r>
    </w:p>
    <w:p>
      <w:pPr>
        <w:pStyle w:val="Default"/>
        <w:spacing w:lineRule="auto" w:line="276"/>
        <w:jc w:val="both"/>
        <w:rPr>
          <w:b/>
          <w:b/>
          <w:sz w:val="22"/>
          <w:szCs w:val="22"/>
        </w:rPr>
      </w:pPr>
      <w:r>
        <w:rPr>
          <w:b/>
          <w:sz w:val="22"/>
          <w:szCs w:val="22"/>
        </w:rPr>
        <w:t xml:space="preserve">- Numărul total de întreprinderi sprijinite - </w:t>
      </w:r>
      <w:r>
        <w:rPr>
          <w:b/>
          <w:sz w:val="22"/>
          <w:szCs w:val="22"/>
        </w:rPr>
        <w:t>7</w:t>
      </w:r>
      <w:r>
        <w:rPr>
          <w:b/>
          <w:sz w:val="22"/>
          <w:szCs w:val="22"/>
        </w:rPr>
        <w:t>.</w:t>
      </w:r>
    </w:p>
    <w:p>
      <w:pPr>
        <w:pStyle w:val="Default"/>
        <w:spacing w:lineRule="auto" w:line="276"/>
        <w:jc w:val="both"/>
        <w:rPr/>
      </w:pPr>
      <w:r>
        <w:rPr>
          <w:b/>
          <w:sz w:val="22"/>
          <w:szCs w:val="22"/>
        </w:rPr>
        <w:t>- Numărul de proiecte ce au componente inovative sau de protecție a mediului -</w:t>
      </w:r>
      <w:r>
        <w:rPr>
          <w:b/>
          <w:sz w:val="22"/>
          <w:szCs w:val="22"/>
        </w:rPr>
        <w:t>2</w:t>
      </w:r>
      <w:r>
        <w:rPr>
          <w:b/>
          <w:sz w:val="22"/>
          <w:szCs w:val="22"/>
        </w:rPr>
        <w:t>.</w:t>
      </w:r>
    </w:p>
    <w:p>
      <w:pPr>
        <w:pStyle w:val="Normal"/>
        <w:spacing w:before="0" w:after="0"/>
        <w:rPr/>
      </w:pPr>
      <w:r>
        <w:rPr/>
      </w:r>
    </w:p>
    <w:sectPr>
      <w:headerReference w:type="default" r:id="rId2"/>
      <w:footerReference w:type="default" r:id="rId3"/>
      <w:type w:val="nextPage"/>
      <w:pgSz w:w="12240" w:h="15840"/>
      <w:pgMar w:left="1440" w:right="1440" w:header="425" w:top="1440" w:footer="0" w:bottom="144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Trebuchet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op w:val="single" w:sz="4" w:space="0" w:color="8064A2"/>
      </w:tblBorders>
      <w:tblCellMar>
        <w:top w:w="0" w:type="dxa"/>
        <w:left w:w="108" w:type="dxa"/>
        <w:bottom w:w="0" w:type="dxa"/>
        <w:right w:w="108" w:type="dxa"/>
      </w:tblCellMar>
      <w:tblLook w:val="04a0"/>
    </w:tblPr>
    <w:tblGrid>
      <w:gridCol w:w="8836"/>
      <w:gridCol w:w="523"/>
    </w:tblGrid>
    <w:tr>
      <w:trPr>
        <w:trHeight w:val="360" w:hRule="atLeast"/>
      </w:trPr>
      <w:tc>
        <w:tcPr>
          <w:tcW w:w="8836" w:type="dxa"/>
          <w:tcBorders>
            <w:top w:val="single" w:sz="4" w:space="0" w:color="8064A2"/>
          </w:tcBorders>
          <w:shd w:color="auto" w:fill="auto" w:val="clear"/>
        </w:tcPr>
        <w:p>
          <w:pPr>
            <w:pStyle w:val="Footer"/>
            <w:jc w:val="right"/>
            <w:rPr>
              <w:rFonts w:ascii="Trebuchet MS" w:hAnsi="Trebuchet MS"/>
              <w:b/>
              <w:b/>
              <w:shadow/>
              <w:sz w:val="22"/>
              <w:szCs w:val="22"/>
            </w:rPr>
          </w:pPr>
          <w:r>
            <w:rPr>
              <w:rFonts w:ascii="Trebuchet MS" w:hAnsi="Trebuchet MS"/>
              <w:b/>
              <w:shadow/>
              <w:sz w:val="22"/>
              <w:szCs w:val="22"/>
            </w:rPr>
            <w:t>Fișa Măsurii M3.1</w:t>
          </w:r>
        </w:p>
      </w:tc>
      <w:tc>
        <w:tcPr>
          <w:tcW w:w="523" w:type="dxa"/>
          <w:tcBorders>
            <w:top w:val="single" w:sz="4" w:space="0" w:color="8064A2"/>
          </w:tcBorders>
          <w:shd w:color="auto" w:fill="8064A2" w:themeFill="accent4" w:val="clear"/>
        </w:tcPr>
        <w:p>
          <w:pPr>
            <w:pStyle w:val="Footer"/>
            <w:jc w:val="center"/>
            <w:rPr/>
          </w:pPr>
          <w:r>
            <w:rPr>
              <w:rFonts w:ascii="Trebuchet MS" w:hAnsi="Trebuchet MS"/>
              <w:shadow/>
              <w:color w:val="FFFFFF" w:themeColor="background1"/>
              <w:sz w:val="22"/>
              <w:szCs w:val="22"/>
            </w:rPr>
            <w:fldChar w:fldCharType="begin"/>
          </w:r>
          <w:r>
            <w:instrText> PAGE </w:instrText>
          </w:r>
          <w:r>
            <w:fldChar w:fldCharType="separate"/>
          </w:r>
          <w:r>
            <w:t>5</w:t>
          </w:r>
          <w:r>
            <w:fldChar w:fldCharType="end"/>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9" w:type="dxa"/>
      <w:jc w:val="left"/>
      <w:tblInd w:w="-9" w:type="dxa"/>
      <w:tblBorders/>
      <w:tblCellMar>
        <w:top w:w="0" w:type="dxa"/>
        <w:left w:w="108" w:type="dxa"/>
        <w:bottom w:w="0" w:type="dxa"/>
        <w:right w:w="108" w:type="dxa"/>
      </w:tblCellMar>
      <w:tblLook w:val="04a0"/>
    </w:tblPr>
    <w:tblGrid>
      <w:gridCol w:w="6243"/>
      <w:gridCol w:w="3305"/>
    </w:tblGrid>
    <w:tr>
      <w:trPr>
        <w:trHeight w:val="534" w:hRule="atLeast"/>
      </w:trPr>
      <w:tc>
        <w:tcPr>
          <w:tcW w:w="6243" w:type="dxa"/>
          <w:tcBorders/>
          <w:shd w:color="auto" w:fill="8064A2" w:themeFill="accent4" w:val="clear"/>
          <w:vAlign w:val="center"/>
        </w:tcPr>
        <w:p>
          <w:pPr>
            <w:pStyle w:val="Header"/>
            <w:jc w:val="right"/>
            <w:rPr>
              <w:rFonts w:ascii="Trebuchet MS" w:hAnsi="Trebuchet MS"/>
              <w:caps/>
              <w:color w:val="FFFFFF" w:themeColor="background1"/>
              <w:sz w:val="22"/>
              <w:szCs w:val="22"/>
            </w:rPr>
          </w:pPr>
          <w:sdt>
            <w:sdtPr>
              <w:text/>
              <w:dataBinding w:prefixMappings="xmlns:ns0='http://schemas.openxmlformats.org/package/2006/metadata/core-properties' xmlns:ns1='http://purl.org/dc/elements/1.1/'" w:xpath="/ns0:coreProperties[1]/ns1:title[1]" w:storeItemID="{6C3C8BC8-F283-45AE-878A-BAB7291924A1}"/>
              <w:alias w:val="Title"/>
            </w:sdtPr>
            <w:sdtContent>
              <w:r>
                <w:rPr>
                  <w:rFonts w:ascii="Trebuchet MS" w:hAnsi="Trebuchet MS"/>
                  <w:b/>
                  <w:caps/>
                  <w:shadow/>
                  <w:color w:val="FFFFFF" w:themeColor="background1"/>
                  <w:sz w:val="22"/>
                  <w:szCs w:val="22"/>
                </w:rPr>
                <w:t>Grupul de acțiune locală sudul gorjului</w:t>
              </w:r>
            </w:sdtContent>
          </w:sdt>
        </w:p>
      </w:tc>
      <w:tc>
        <w:tcPr>
          <w:tcW w:w="3305" w:type="dxa"/>
          <w:tcBorders/>
          <w:shd w:color="auto" w:fill="000000" w:themeFill="text1" w:val="clear"/>
          <w:vAlign w:val="center"/>
        </w:tcPr>
        <w:p>
          <w:pPr>
            <w:pStyle w:val="Header"/>
            <w:jc w:val="center"/>
            <w:rPr>
              <w:rFonts w:ascii="Trebuchet MS" w:hAnsi="Trebuchet MS"/>
              <w:shadow/>
              <w:color w:val="FFFFFF" w:themeColor="background1"/>
              <w:sz w:val="22"/>
              <w:szCs w:val="22"/>
            </w:rPr>
          </w:pPr>
          <w:r>
            <w:rPr>
              <w:rFonts w:ascii="Trebuchet MS" w:hAnsi="Trebuchet MS"/>
              <w:shadow/>
              <w:color w:val="FFFFFF" w:themeColor="background1"/>
              <w:sz w:val="22"/>
              <w:szCs w:val="22"/>
            </w:rPr>
            <w:t>Strategia de Dezvoltare Locală</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pacing w:lineRule="auto" w:line="276"/>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02b4"/>
    <w:pPr>
      <w:widowControl/>
      <w:suppressAutoHyphens w:val="true"/>
      <w:bidi w:val="0"/>
      <w:spacing w:before="0" w:after="200" w:lineRule="auto" w:line="276"/>
      <w:jc w:val="left"/>
    </w:pPr>
    <w:rPr>
      <w:rFonts w:ascii="Calibri" w:hAnsi="Calibri" w:eastAsia="Times New Roman" w:cs="Times New Roman"/>
      <w:color w:val="00000A"/>
      <w:sz w:val="20"/>
      <w:szCs w:val="20"/>
      <w:lang w:bidi="en-US" w:val="en-US" w:eastAsia="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 w:cs="" w:cstheme="majorBidi" w:eastAsiaTheme="majorEastAsia"/>
      <w:smallCaps/>
      <w:spacing w:val="5"/>
      <w:sz w:val="28"/>
      <w:szCs w:val="28"/>
      <w:lang w:bidi="ar-SA"/>
    </w:rPr>
  </w:style>
  <w:style w:type="paragraph" w:styleId="Heading3">
    <w:name w:val="Heading 3"/>
    <w:basedOn w:val="Normal"/>
    <w:next w:val="Normal"/>
    <w:link w:val="Heading3Char"/>
    <w:uiPriority w:val="9"/>
    <w:unhideWhenUsed/>
    <w:qFormat/>
    <w:rsid w:val="002332c1"/>
    <w:pPr>
      <w:spacing w:before="0"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before="0"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before="0"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before="0"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before="0" w:after="0"/>
      <w:outlineLvl w:val="8"/>
    </w:pPr>
    <w:rPr>
      <w:rFonts w:cs="Arial"/>
      <w:b/>
      <w:i/>
      <w:smallCaps/>
      <w:color w:val="622423"/>
      <w:lang w:bidi="ar-S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332c1"/>
    <w:rPr>
      <w:rFonts w:cs="Arial"/>
      <w:smallCaps/>
      <w:spacing w:val="5"/>
      <w:sz w:val="32"/>
      <w:szCs w:val="32"/>
    </w:rPr>
  </w:style>
  <w:style w:type="character" w:styleId="Heading2Char" w:customStyle="1">
    <w:name w:val="Heading 2 Char"/>
    <w:basedOn w:val="DefaultParagraphFont"/>
    <w:link w:val="Heading2"/>
    <w:uiPriority w:val="9"/>
    <w:qFormat/>
    <w:rsid w:val="002332c1"/>
    <w:rPr>
      <w:rFonts w:eastAsia="" w:cs="" w:cstheme="majorBidi" w:eastAsiaTheme="majorEastAsia"/>
      <w:smallCaps/>
      <w:spacing w:val="5"/>
      <w:sz w:val="28"/>
      <w:szCs w:val="28"/>
    </w:rPr>
  </w:style>
  <w:style w:type="character" w:styleId="Heading3Char" w:customStyle="1">
    <w:name w:val="Heading 3 Char"/>
    <w:basedOn w:val="DefaultParagraphFont"/>
    <w:link w:val="Heading3"/>
    <w:uiPriority w:val="9"/>
    <w:qFormat/>
    <w:rsid w:val="002332c1"/>
    <w:rPr>
      <w:rFonts w:cs="Arial"/>
      <w:smallCaps/>
      <w:spacing w:val="5"/>
      <w:sz w:val="24"/>
      <w:szCs w:val="24"/>
    </w:rPr>
  </w:style>
  <w:style w:type="character" w:styleId="Heading4Char" w:customStyle="1">
    <w:name w:val="Heading 4 Char"/>
    <w:basedOn w:val="DefaultParagraphFont"/>
    <w:link w:val="Heading4"/>
    <w:uiPriority w:val="9"/>
    <w:qFormat/>
    <w:rsid w:val="002332c1"/>
    <w:rPr>
      <w:smallCaps/>
      <w:spacing w:val="10"/>
      <w:sz w:val="22"/>
      <w:szCs w:val="22"/>
    </w:rPr>
  </w:style>
  <w:style w:type="character" w:styleId="Heading5Char" w:customStyle="1">
    <w:name w:val="Heading 5 Char"/>
    <w:basedOn w:val="DefaultParagraphFont"/>
    <w:link w:val="Heading5"/>
    <w:uiPriority w:val="9"/>
    <w:qFormat/>
    <w:rsid w:val="002332c1"/>
    <w:rPr>
      <w:smallCaps/>
      <w:color w:val="943634"/>
      <w:spacing w:val="10"/>
      <w:sz w:val="22"/>
      <w:szCs w:val="26"/>
    </w:rPr>
  </w:style>
  <w:style w:type="character" w:styleId="Heading6Char" w:customStyle="1">
    <w:name w:val="Heading 6 Char"/>
    <w:basedOn w:val="DefaultParagraphFont"/>
    <w:link w:val="Heading6"/>
    <w:uiPriority w:val="9"/>
    <w:qFormat/>
    <w:rsid w:val="002332c1"/>
    <w:rPr>
      <w:smallCaps/>
      <w:color w:val="C0504D"/>
      <w:spacing w:val="5"/>
      <w:sz w:val="22"/>
    </w:rPr>
  </w:style>
  <w:style w:type="character" w:styleId="Heading7Char" w:customStyle="1">
    <w:name w:val="Heading 7 Char"/>
    <w:basedOn w:val="DefaultParagraphFont"/>
    <w:link w:val="Heading7"/>
    <w:uiPriority w:val="9"/>
    <w:qFormat/>
    <w:rsid w:val="002332c1"/>
    <w:rPr>
      <w:b/>
      <w:smallCaps/>
      <w:color w:val="C0504D"/>
      <w:spacing w:val="10"/>
    </w:rPr>
  </w:style>
  <w:style w:type="character" w:styleId="Heading8Char" w:customStyle="1">
    <w:name w:val="Heading 8 Char"/>
    <w:basedOn w:val="DefaultParagraphFont"/>
    <w:link w:val="Heading8"/>
    <w:uiPriority w:val="9"/>
    <w:qFormat/>
    <w:rsid w:val="002332c1"/>
    <w:rPr>
      <w:b/>
      <w:i/>
      <w:smallCaps/>
      <w:color w:val="943634"/>
    </w:rPr>
  </w:style>
  <w:style w:type="character" w:styleId="Heading9Char" w:customStyle="1">
    <w:name w:val="Heading 9 Char"/>
    <w:basedOn w:val="DefaultParagraphFont"/>
    <w:link w:val="Heading9"/>
    <w:uiPriority w:val="9"/>
    <w:qFormat/>
    <w:rsid w:val="002332c1"/>
    <w:rPr>
      <w:rFonts w:cs="Arial"/>
      <w:b/>
      <w:i/>
      <w:smallCaps/>
      <w:color w:val="622423"/>
    </w:rPr>
  </w:style>
  <w:style w:type="character" w:styleId="TitleChar" w:customStyle="1">
    <w:name w:val="Title Char"/>
    <w:basedOn w:val="DefaultParagraphFont"/>
    <w:link w:val="Title"/>
    <w:uiPriority w:val="10"/>
    <w:qFormat/>
    <w:rsid w:val="002332c1"/>
    <w:rPr>
      <w:rFonts w:eastAsia="" w:cs="" w:cstheme="majorBidi" w:eastAsiaTheme="majorEastAsia"/>
      <w:smallCaps/>
      <w:sz w:val="48"/>
      <w:szCs w:val="48"/>
    </w:rPr>
  </w:style>
  <w:style w:type="character" w:styleId="SubtitleChar" w:customStyle="1">
    <w:name w:val="Subtitle Char"/>
    <w:basedOn w:val="DefaultParagraphFont"/>
    <w:link w:val="Subtitle"/>
    <w:uiPriority w:val="11"/>
    <w:qFormat/>
    <w:rsid w:val="002332c1"/>
    <w:rPr>
      <w:rFonts w:ascii="Cambria" w:hAnsi="Cambria" w:eastAsia="" w:cs="" w:cstheme="majorBidi" w:eastAsiaTheme="majorEastAsia"/>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styleId="NoSpacingChar" w:customStyle="1">
    <w:name w:val="No Spacing Char"/>
    <w:basedOn w:val="DefaultParagraphFont"/>
    <w:link w:val="NoSpacing"/>
    <w:uiPriority w:val="1"/>
    <w:qFormat/>
    <w:rsid w:val="002332c1"/>
    <w:rPr>
      <w:rFonts w:eastAsia="" w:eastAsiaTheme="minorEastAsia"/>
      <w:lang w:bidi="en-US"/>
    </w:rPr>
  </w:style>
  <w:style w:type="character" w:styleId="ListParagraphChar" w:customStyle="1">
    <w:name w:val="List Paragraph Char"/>
    <w:basedOn w:val="DefaultParagraphFont"/>
    <w:link w:val="ListParagraph"/>
    <w:uiPriority w:val="34"/>
    <w:qFormat/>
    <w:rsid w:val="002332c1"/>
    <w:rPr>
      <w:lang w:bidi="en-US"/>
    </w:rPr>
  </w:style>
  <w:style w:type="character" w:styleId="QuoteChar" w:customStyle="1">
    <w:name w:val="Quote Char"/>
    <w:basedOn w:val="DefaultParagraphFont"/>
    <w:link w:val="Quote"/>
    <w:uiPriority w:val="29"/>
    <w:qFormat/>
    <w:rsid w:val="002332c1"/>
    <w:rPr>
      <w:rFonts w:eastAsia="Calibri"/>
      <w:i/>
    </w:rPr>
  </w:style>
  <w:style w:type="character" w:styleId="IntenseQuoteChar" w:customStyle="1">
    <w:name w:val="Intense Quote Char"/>
    <w:basedOn w:val="DefaultParagraphFont"/>
    <w:link w:val="IntenseQuote"/>
    <w:uiPriority w:val="30"/>
    <w:qFormat/>
    <w:rsid w:val="002332c1"/>
    <w:rPr>
      <w:i/>
      <w:color w:val="FFFFFF"/>
      <w:shd w:fill="C0504D" w:val="clear"/>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hAnsi="Cambria" w:eastAsia="Times New Roman" w:cs="Times New Roman"/>
      <w:i/>
      <w:iCs/>
      <w:sz w:val="20"/>
      <w:szCs w:val="20"/>
    </w:rPr>
  </w:style>
  <w:style w:type="character" w:styleId="InternetLink" w:customStyle="1">
    <w:name w:val="Internet Link"/>
    <w:basedOn w:val="DefaultParagraphFont"/>
    <w:uiPriority w:val="99"/>
    <w:unhideWhenUsed/>
    <w:rsid w:val="00187154"/>
    <w:rPr>
      <w:color w:val="0000FF" w:themeColor="hyperlink"/>
      <w:u w:val="single"/>
    </w:rPr>
  </w:style>
  <w:style w:type="character" w:styleId="FootnoteTextChar" w:customStyle="1">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styleId="FootnoteAnchor" w:customStyle="1">
    <w:name w:val="Footnote Anchor"/>
    <w:rsid w:val="00d602b4"/>
    <w:rPr>
      <w:vertAlign w:val="superscript"/>
    </w:rPr>
  </w:style>
  <w:style w:type="character" w:styleId="FootnoteTextChar1" w:customStyle="1">
    <w:name w:val="Footnote Text Char1"/>
    <w:basedOn w:val="DefaultParagraphFont"/>
    <w:uiPriority w:val="99"/>
    <w:semiHidden/>
    <w:qFormat/>
    <w:rsid w:val="00d602b4"/>
    <w:rPr>
      <w:lang w:bidi="en-US"/>
    </w:rPr>
  </w:style>
  <w:style w:type="character" w:styleId="HeaderChar" w:customStyle="1">
    <w:name w:val="Header Char"/>
    <w:basedOn w:val="DefaultParagraphFont"/>
    <w:link w:val="Header"/>
    <w:uiPriority w:val="99"/>
    <w:qFormat/>
    <w:rsid w:val="00cd33bd"/>
    <w:rPr>
      <w:lang w:bidi="en-US"/>
    </w:rPr>
  </w:style>
  <w:style w:type="character" w:styleId="FooterChar" w:customStyle="1">
    <w:name w:val="Footer Char"/>
    <w:basedOn w:val="DefaultParagraphFont"/>
    <w:link w:val="Footer"/>
    <w:uiPriority w:val="99"/>
    <w:qFormat/>
    <w:rsid w:val="00cd33bd"/>
    <w:rPr>
      <w:lang w:bidi="en-US"/>
    </w:rPr>
  </w:style>
  <w:style w:type="character" w:styleId="ListLabel1" w:customStyle="1">
    <w:name w:val="ListLabel 1"/>
    <w:qFormat/>
    <w:rsid w:val="002812ec"/>
    <w:rPr>
      <w:rFonts w:cs="Wingdings 2"/>
    </w:rPr>
  </w:style>
  <w:style w:type="character" w:styleId="ListLabel2" w:customStyle="1">
    <w:name w:val="ListLabel 2"/>
    <w:qFormat/>
    <w:rsid w:val="002812ec"/>
    <w:rPr>
      <w:rFonts w:cs="Courier New"/>
    </w:rPr>
  </w:style>
  <w:style w:type="character" w:styleId="ListLabel3" w:customStyle="1">
    <w:name w:val="ListLabel 3"/>
    <w:qFormat/>
    <w:rsid w:val="002812ec"/>
    <w:rPr>
      <w:rFonts w:cs="Wingdings"/>
    </w:rPr>
  </w:style>
  <w:style w:type="character" w:styleId="ListLabel4" w:customStyle="1">
    <w:name w:val="ListLabel 4"/>
    <w:qFormat/>
    <w:rsid w:val="002812ec"/>
    <w:rPr>
      <w:rFonts w:cs="Symbol"/>
    </w:rPr>
  </w:style>
  <w:style w:type="character" w:styleId="FootnoteCharacters" w:customStyle="1">
    <w:name w:val="Footnote Characters"/>
    <w:qFormat/>
    <w:rsid w:val="00207a21"/>
    <w:rPr/>
  </w:style>
  <w:style w:type="character" w:styleId="EndnoteAnchor" w:customStyle="1">
    <w:name w:val="Endnote Anchor"/>
    <w:rsid w:val="00207a21"/>
    <w:rPr>
      <w:vertAlign w:val="superscript"/>
    </w:rPr>
  </w:style>
  <w:style w:type="character" w:styleId="EndnoteCharacters" w:customStyle="1">
    <w:name w:val="Endnote Characters"/>
    <w:qFormat/>
    <w:rsid w:val="00207a21"/>
    <w:rPr/>
  </w:style>
  <w:style w:type="character" w:styleId="VisitedInternetLink" w:customStyle="1">
    <w:name w:val="Visited Internet Link"/>
    <w:rsid w:val="00207a21"/>
    <w:rPr>
      <w:color w:val="800000"/>
      <w:u w:val="single"/>
    </w:rPr>
  </w:style>
  <w:style w:type="character" w:styleId="BalloonTextChar" w:customStyle="1">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styleId="ListLabel5">
    <w:name w:val="ListLabel 5"/>
    <w:qFormat/>
    <w:rPr>
      <w:rFonts w:cs="Symbol"/>
      <w:b/>
      <w:i w:val="false"/>
      <w:sz w:val="22"/>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ascii="Trebuchet MS" w:hAnsi="Trebuchet MS" w:cs="Symbol"/>
      <w:b/>
      <w:sz w:val="22"/>
    </w:rPr>
  </w:style>
  <w:style w:type="character" w:styleId="ListLabel10">
    <w:name w:val="ListLabel 10"/>
    <w:qFormat/>
    <w:rPr>
      <w:rFonts w:cs="Wingdings"/>
      <w:sz w:val="22"/>
    </w:rPr>
  </w:style>
  <w:style w:type="character" w:styleId="ListLabel11">
    <w:name w:val="ListLabel 11"/>
    <w:qFormat/>
    <w:rPr>
      <w:rFonts w:cs="Symbol"/>
      <w:b/>
      <w:color w:val="FFFFFF"/>
      <w:sz w:val="22"/>
      <w:szCs w:val="22"/>
      <w:shd w:fill="004586" w:val="clear"/>
    </w:rPr>
  </w:style>
  <w:style w:type="paragraph" w:styleId="Heading" w:customStyle="1">
    <w:name w:val="Heading"/>
    <w:basedOn w:val="Normal"/>
    <w:next w:val="TextBody"/>
    <w:qFormat/>
    <w:rsid w:val="002812ec"/>
    <w:pPr>
      <w:keepNext/>
      <w:spacing w:before="240" w:after="120"/>
    </w:pPr>
    <w:rPr>
      <w:rFonts w:ascii="Liberation Sans" w:hAnsi="Liberation Sans" w:eastAsia="Microsoft YaHei" w:cs="Mangal"/>
      <w:sz w:val="28"/>
      <w:szCs w:val="28"/>
    </w:rPr>
  </w:style>
  <w:style w:type="paragraph" w:styleId="TextBody" w:customStyle="1">
    <w:name w:val="Text Body"/>
    <w:basedOn w:val="Normal"/>
    <w:rsid w:val="002812ec"/>
    <w:pPr>
      <w:spacing w:lineRule="auto" w:line="288" w:before="0" w:after="140"/>
    </w:pPr>
    <w:rPr/>
  </w:style>
  <w:style w:type="paragraph" w:styleId="List">
    <w:name w:val="List"/>
    <w:basedOn w:val="TextBody"/>
    <w:rsid w:val="002812ec"/>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2812ec"/>
    <w:pPr>
      <w:suppressLineNumbers/>
    </w:pPr>
    <w:rPr>
      <w:rFonts w:cs="Mangal"/>
    </w:rPr>
  </w:style>
  <w:style w:type="paragraph" w:styleId="Caption1">
    <w:name w:val="caption"/>
    <w:basedOn w:val="Normal"/>
    <w:next w:val="Normal"/>
    <w:uiPriority w:val="35"/>
    <w:unhideWhenUsed/>
    <w:qFormat/>
    <w:rsid w:val="002332c1"/>
    <w:pPr/>
    <w:rPr>
      <w:b/>
      <w:bCs/>
      <w:caps/>
      <w:sz w:val="16"/>
      <w:szCs w:val="18"/>
    </w:rPr>
  </w:style>
  <w:style w:type="paragraph" w:styleId="Title">
    <w:name w:val="Title"/>
    <w:basedOn w:val="Normal"/>
    <w:next w:val="Normal"/>
    <w:link w:val="TitleChar"/>
    <w:uiPriority w:val="10"/>
    <w:qFormat/>
    <w:rsid w:val="002332c1"/>
    <w:pPr>
      <w:pBdr>
        <w:top w:val="single" w:sz="12" w:space="1" w:color="C0504D"/>
      </w:pBdr>
      <w:spacing w:lineRule="auto" w:line="240"/>
      <w:jc w:val="right"/>
    </w:pPr>
    <w:rPr>
      <w:rFonts w:eastAsia="" w:cs="" w:cstheme="majorBidi" w:eastAsiaTheme="majorEastAsia"/>
      <w:smallCaps/>
      <w:sz w:val="48"/>
      <w:szCs w:val="48"/>
      <w:lang w:bidi="ar-SA"/>
    </w:rPr>
  </w:style>
  <w:style w:type="paragraph" w:styleId="Subtitle">
    <w:name w:val="Subtitle"/>
    <w:basedOn w:val="Normal"/>
    <w:next w:val="Normal"/>
    <w:link w:val="SubtitleChar"/>
    <w:uiPriority w:val="11"/>
    <w:qFormat/>
    <w:rsid w:val="002332c1"/>
    <w:pPr>
      <w:spacing w:lineRule="auto" w:line="240" w:before="0" w:after="720"/>
      <w:jc w:val="right"/>
    </w:pPr>
    <w:rPr>
      <w:rFonts w:ascii="Cambria" w:hAnsi="Cambria" w:eastAsia="" w:cs="" w:cstheme="majorBidi" w:eastAsiaTheme="majorEastAsia"/>
      <w:szCs w:val="22"/>
      <w:lang w:bidi="ar-SA"/>
    </w:rPr>
  </w:style>
  <w:style w:type="paragraph" w:styleId="NoSpacing">
    <w:name w:val="No Spacing"/>
    <w:basedOn w:val="Normal"/>
    <w:link w:val="NoSpacingChar"/>
    <w:uiPriority w:val="1"/>
    <w:qFormat/>
    <w:rsid w:val="002332c1"/>
    <w:pPr>
      <w:spacing w:lineRule="auto" w:line="240" w:before="0" w:after="0"/>
    </w:pPr>
    <w:rPr>
      <w:rFonts w:eastAsia="" w:eastAsiaTheme="minorEastAsia"/>
    </w:rPr>
  </w:style>
  <w:style w:type="paragraph" w:styleId="ListParagraph">
    <w:name w:val="List Paragraph"/>
    <w:basedOn w:val="Normal"/>
    <w:link w:val="ListParagraphChar"/>
    <w:qFormat/>
    <w:rsid w:val="002332c1"/>
    <w:pPr>
      <w:spacing w:before="0" w:after="200"/>
      <w:ind w:left="720" w:hanging="0"/>
      <w:contextualSpacing/>
    </w:pPr>
    <w:rPr/>
  </w:style>
  <w:style w:type="paragraph" w:styleId="Quote">
    <w:name w:val="Quote"/>
    <w:basedOn w:val="Normal"/>
    <w:next w:val="Normal"/>
    <w:link w:val="QuoteChar"/>
    <w:uiPriority w:val="29"/>
    <w:qFormat/>
    <w:rsid w:val="002332c1"/>
    <w:pPr/>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hanging="0"/>
    </w:pPr>
    <w:rPr>
      <w:b/>
      <w:i/>
      <w:color w:val="FFFFFF"/>
      <w:lang w:bidi="ar-SA"/>
    </w:rPr>
  </w:style>
  <w:style w:type="paragraph" w:styleId="ContentsHeading" w:customStyle="1">
    <w:name w:val="Contents Heading"/>
    <w:basedOn w:val="Heading1"/>
    <w:next w:val="Normal"/>
    <w:uiPriority w:val="39"/>
    <w:unhideWhenUsed/>
    <w:qFormat/>
    <w:rsid w:val="002332c1"/>
    <w:pPr/>
    <w:rPr>
      <w:rFonts w:eastAsia="" w:cs="" w:cstheme="majorBidi" w:eastAsiaTheme="majorEastAsia"/>
      <w:lang w:bidi="en-US"/>
    </w:rPr>
  </w:style>
  <w:style w:type="paragraph" w:styleId="Footnotetext">
    <w:name w:val="footnote text"/>
    <w:basedOn w:val="Normal"/>
    <w:link w:val="FootnoteTextChar"/>
    <w:uiPriority w:val="99"/>
    <w:unhideWhenUsed/>
    <w:qFormat/>
    <w:rsid w:val="00d602b4"/>
    <w:pPr>
      <w:spacing w:lineRule="auto" w:line="240" w:before="0" w:after="0"/>
    </w:pPr>
    <w:rPr/>
  </w:style>
  <w:style w:type="paragraph" w:styleId="Footnote" w:customStyle="1">
    <w:name w:val="Footnote"/>
    <w:basedOn w:val="Normal"/>
    <w:rsid w:val="00d602b4"/>
    <w:pPr/>
    <w:rPr/>
  </w:style>
  <w:style w:type="paragraph" w:styleId="Header">
    <w:name w:val="Header"/>
    <w:basedOn w:val="Normal"/>
    <w:link w:val="HeaderChar"/>
    <w:uiPriority w:val="99"/>
    <w:unhideWhenUsed/>
    <w:rsid w:val="00cd33b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d33bd"/>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684f44"/>
    <w:pPr>
      <w:spacing w:lineRule="auto" w:line="240" w:before="0" w:after="0"/>
    </w:pPr>
    <w:rPr>
      <w:rFonts w:ascii="Tahoma" w:hAnsi="Tahoma" w:cs="Tahoma"/>
      <w:sz w:val="16"/>
      <w:szCs w:val="16"/>
    </w:rPr>
  </w:style>
  <w:style w:type="paragraph" w:styleId="TableContents" w:customStyle="1">
    <w:name w:val="Table Contents"/>
    <w:basedOn w:val="Normal"/>
    <w:qFormat/>
    <w:rsid w:val="005a6025"/>
    <w:pPr/>
    <w:rPr/>
  </w:style>
  <w:style w:type="paragraph" w:styleId="Default" w:customStyle="1">
    <w:name w:val="Default"/>
    <w:qFormat/>
    <w:rsid w:val="008844e0"/>
    <w:pPr>
      <w:widowControl/>
      <w:suppressAutoHyphens w:val="true"/>
      <w:bidi w:val="0"/>
      <w:spacing w:lineRule="auto" w:line="240"/>
      <w:jc w:val="left"/>
    </w:pPr>
    <w:rPr>
      <w:rFonts w:ascii="Trebuchet MS" w:hAnsi="Trebuchet MS" w:eastAsia="SimSun;宋体" w:cs="Trebuchet MS"/>
      <w:color w:val="000000"/>
      <w:sz w:val="24"/>
      <w:szCs w:val="24"/>
      <w:lang w:val="ro-RO" w:eastAsia="zh-CN" w:bidi="hi-IN"/>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9298d"/>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ediumShading2-Accent4">
    <w:name w:val="Medium Shading 2 Accent 4"/>
    <w:basedOn w:val="TableNormal"/>
    <w:uiPriority w:val="64"/>
    <w:rsid w:val="00f160e0"/>
    <w:pPr>
      <w:spacing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3C276-F856-4E89-A63A-716067AF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Application>LibreOffice/4.4.2.2$Windows_x86 LibreOffice_project/c4c7d32d0d49397cad38d62472b0bc8acff48dd6</Application>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2016-04-26T15:17:00Z</dcterms:created>
  <dc:creator>Roxana</dc:creator>
  <dc:language>ro-RO</dc:language>
  <cp:lastPrinted>2016-04-26T20:10:00Z</cp:lastPrinted>
  <dcterms:modified xsi:type="dcterms:W3CDTF">2016-05-31T17:15:17Z</dcterms:modified>
  <cp:revision>8</cp:revision>
  <dc:title>Grupul de acțiune locală sudul gorjului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