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lineRule="auto" w:line="276"/>
        <w:rPr>
          <w:b/>
          <w:b/>
          <w:bCs/>
          <w:sz w:val="22"/>
          <w:szCs w:val="22"/>
        </w:rPr>
      </w:pPr>
      <w:r>
        <w:rPr>
          <w:b/>
          <w:imprint/>
          <w:color w:val="7030A0"/>
          <w:sz w:val="22"/>
          <w:szCs w:val="22"/>
        </w:rPr>
        <w:t>CAPITOLUL V. PREZENTAREA MĂSURILOR</w:t>
      </w:r>
    </w:p>
    <w:p>
      <w:pPr>
        <w:pStyle w:val="Default"/>
        <w:spacing w:lineRule="auto" w:line="276"/>
        <w:jc w:val="center"/>
        <w:rPr>
          <w:b/>
          <w:b/>
          <w:bCs/>
          <w:sz w:val="22"/>
          <w:szCs w:val="22"/>
        </w:rPr>
      </w:pPr>
      <w:r>
        <w:rPr>
          <w:b/>
          <w:bCs/>
          <w:sz w:val="22"/>
          <w:szCs w:val="22"/>
        </w:rPr>
      </w:r>
    </w:p>
    <w:p>
      <w:pPr>
        <w:pStyle w:val="Default"/>
        <w:spacing w:lineRule="auto" w:line="276"/>
        <w:jc w:val="center"/>
        <w:rPr>
          <w:sz w:val="22"/>
          <w:szCs w:val="22"/>
        </w:rPr>
      </w:pPr>
      <w:r>
        <w:rPr>
          <w:b/>
          <w:bCs/>
          <w:sz w:val="22"/>
          <w:szCs w:val="22"/>
        </w:rPr>
        <w:t xml:space="preserve">FIȘA MĂSURII </w:t>
      </w:r>
      <w:r>
        <w:rPr>
          <w:b/>
          <w:bCs/>
          <w:color w:val="5F497A" w:themeColor="accent4" w:themeShade="bf"/>
          <w:sz w:val="22"/>
          <w:szCs w:val="22"/>
        </w:rPr>
        <w:t>M1</w:t>
      </w:r>
    </w:p>
    <w:p>
      <w:pPr>
        <w:pStyle w:val="Default"/>
        <w:spacing w:lineRule="auto" w:line="276"/>
        <w:jc w:val="both"/>
        <w:rPr>
          <w:b/>
          <w:b/>
          <w:bCs/>
          <w:sz w:val="22"/>
          <w:szCs w:val="22"/>
        </w:rPr>
      </w:pPr>
      <w:r>
        <w:rPr>
          <w:b/>
          <w:bCs/>
          <w:sz w:val="22"/>
          <w:szCs w:val="22"/>
        </w:rPr>
      </w:r>
    </w:p>
    <w:p>
      <w:pPr>
        <w:pStyle w:val="Default"/>
        <w:spacing w:lineRule="auto" w:line="276"/>
        <w:jc w:val="both"/>
        <w:rPr>
          <w:sz w:val="22"/>
          <w:szCs w:val="22"/>
        </w:rPr>
      </w:pPr>
      <w:r>
        <w:rPr>
          <w:b/>
          <w:bCs/>
          <w:sz w:val="22"/>
          <w:szCs w:val="22"/>
        </w:rPr>
        <w:t>Denumirea măsurii</w:t>
      </w:r>
      <w:r>
        <w:rPr>
          <w:b/>
          <w:bCs/>
          <w:color w:val="5F497A" w:themeColor="accent4" w:themeShade="bf"/>
          <w:sz w:val="22"/>
          <w:szCs w:val="22"/>
        </w:rPr>
        <w:t>: „</w:t>
      </w:r>
      <w:r>
        <w:rPr>
          <w:b/>
          <w:bCs/>
          <w:i/>
          <w:iCs/>
          <w:color w:val="5F497A" w:themeColor="accent4" w:themeShade="bf"/>
          <w:sz w:val="22"/>
          <w:szCs w:val="22"/>
        </w:rPr>
        <w:t>Transfer de cunoștințe în domeniul agricol”</w:t>
      </w:r>
    </w:p>
    <w:p>
      <w:pPr>
        <w:pStyle w:val="Default"/>
        <w:spacing w:lineRule="auto" w:line="276"/>
        <w:jc w:val="both"/>
        <w:rPr>
          <w:sz w:val="22"/>
          <w:szCs w:val="22"/>
        </w:rPr>
      </w:pPr>
      <w:r>
        <w:rPr>
          <w:b/>
          <w:bCs/>
          <w:sz w:val="22"/>
          <w:szCs w:val="22"/>
        </w:rPr>
        <w:t xml:space="preserve">CODUL Măsurii: </w:t>
      </w:r>
      <w:r>
        <w:rPr>
          <w:b/>
          <w:bCs/>
          <w:color w:val="5F497A" w:themeColor="accent4" w:themeShade="bf"/>
          <w:sz w:val="22"/>
          <w:szCs w:val="22"/>
        </w:rPr>
        <w:t>M</w:t>
      </w:r>
      <w:r>
        <w:rPr>
          <w:b/>
          <w:bCs/>
          <w:color w:val="5F497A" w:themeColor="accent4" w:themeShade="bf"/>
          <w:sz w:val="22"/>
          <w:szCs w:val="22"/>
          <w:lang w:val="en-US"/>
        </w:rPr>
        <w:t>1</w:t>
      </w:r>
      <w:r>
        <w:rPr>
          <w:b/>
          <w:bCs/>
          <w:color w:val="FF3333"/>
          <w:sz w:val="22"/>
          <w:szCs w:val="22"/>
        </w:rPr>
        <w:t xml:space="preserve"> </w:t>
      </w:r>
      <w:r>
        <w:rPr>
          <w:b/>
          <w:bCs/>
          <w:sz w:val="22"/>
          <w:szCs w:val="22"/>
        </w:rPr>
        <w:t xml:space="preserve"> </w:t>
      </w:r>
    </w:p>
    <w:p>
      <w:pPr>
        <w:pStyle w:val="Default"/>
        <w:spacing w:lineRule="auto" w:line="276"/>
        <w:jc w:val="both"/>
        <w:rPr>
          <w:sz w:val="22"/>
          <w:szCs w:val="22"/>
        </w:rPr>
      </w:pPr>
      <w:r>
        <w:rPr>
          <w:b/>
          <w:bCs/>
          <w:sz w:val="22"/>
          <w:szCs w:val="22"/>
          <w:lang w:val="en-US"/>
        </w:rPr>
        <w:t>M</w:t>
      </w:r>
      <w:r>
        <w:rPr>
          <w:b/>
          <w:bCs/>
          <w:sz w:val="22"/>
          <w:szCs w:val="22"/>
        </w:rPr>
        <w:t>ăsura / DI:</w:t>
      </w:r>
      <w:r>
        <w:rPr>
          <w:b/>
          <w:bCs/>
          <w:color w:val="0000CC"/>
          <w:sz w:val="22"/>
          <w:szCs w:val="22"/>
        </w:rPr>
        <w:t xml:space="preserve"> </w:t>
      </w:r>
      <w:r>
        <w:rPr>
          <w:b/>
          <w:bCs/>
          <w:color w:val="5F497A" w:themeColor="accent4" w:themeShade="bf"/>
          <w:sz w:val="22"/>
          <w:szCs w:val="22"/>
        </w:rPr>
        <w:t>M</w:t>
      </w:r>
      <w:r>
        <w:rPr>
          <w:b/>
          <w:bCs/>
          <w:color w:val="5F497A" w:themeColor="accent4" w:themeShade="bf"/>
          <w:sz w:val="22"/>
          <w:szCs w:val="22"/>
          <w:lang w:val="en-US"/>
        </w:rPr>
        <w:t>1</w:t>
      </w:r>
      <w:r>
        <w:rPr>
          <w:b/>
          <w:bCs/>
          <w:color w:val="5F497A" w:themeColor="accent4" w:themeShade="bf"/>
          <w:sz w:val="22"/>
          <w:szCs w:val="22"/>
        </w:rPr>
        <w:t xml:space="preserve"> / </w:t>
      </w:r>
      <w:r>
        <w:rPr>
          <w:b/>
          <w:bCs/>
          <w:color w:val="5F497A" w:themeColor="accent4" w:themeShade="bf"/>
          <w:sz w:val="22"/>
          <w:szCs w:val="22"/>
          <w:lang w:val="en-US"/>
        </w:rPr>
        <w:t>1C</w:t>
      </w:r>
    </w:p>
    <w:p>
      <w:pPr>
        <w:pStyle w:val="Default"/>
        <w:tabs>
          <w:tab w:val="left" w:pos="720" w:leader="none"/>
          <w:tab w:val="left" w:pos="1440" w:leader="none"/>
          <w:tab w:val="left" w:pos="2160" w:leader="none"/>
          <w:tab w:val="left" w:pos="2880" w:leader="none"/>
          <w:tab w:val="left" w:pos="3600" w:leader="none"/>
          <w:tab w:val="left" w:pos="7545" w:leader="none"/>
        </w:tabs>
        <w:spacing w:lineRule="auto" w:line="276"/>
        <w:jc w:val="both"/>
        <w:rPr>
          <w:sz w:val="22"/>
          <w:szCs w:val="22"/>
        </w:rPr>
      </w:pPr>
      <w:r>
        <w:rPr>
          <w:b/>
          <w:bCs/>
          <w:sz w:val="22"/>
          <w:szCs w:val="22"/>
        </w:rPr>
        <w:t xml:space="preserve">Tipul măsurii: </w:t>
        <w:tab/>
      </w:r>
      <w:r>
        <w:rPr>
          <w:rFonts w:eastAsia="Trebuchet MS"/>
          <w:b/>
          <w:bCs/>
          <w:sz w:val="22"/>
          <w:szCs w:val="22"/>
        </w:rPr>
        <w:t xml:space="preserve">□  </w:t>
      </w:r>
      <w:r>
        <w:rPr>
          <w:sz w:val="22"/>
          <w:szCs w:val="22"/>
        </w:rPr>
        <w:t>INVESTIȚII</w:t>
      </w:r>
      <w:r>
        <w:rPr>
          <w:b/>
          <w:bCs/>
          <w:sz w:val="22"/>
          <w:szCs w:val="22"/>
        </w:rPr>
        <w:t xml:space="preserve"> </w:t>
        <w:tab/>
        <w:tab/>
      </w:r>
    </w:p>
    <w:p>
      <w:pPr>
        <w:pStyle w:val="Default"/>
        <w:spacing w:lineRule="auto" w:line="276"/>
        <w:ind w:left="1440" w:firstLine="720"/>
        <w:jc w:val="both"/>
        <w:rPr>
          <w:b/>
          <w:b/>
          <w:bCs/>
          <w:sz w:val="22"/>
          <w:szCs w:val="22"/>
        </w:rPr>
      </w:pPr>
      <w:r>
        <w:rPr>
          <w:rFonts w:eastAsia="Trebuchet MS"/>
          <w:b/>
          <w:bCs/>
          <w:sz w:val="22"/>
          <w:szCs w:val="22"/>
        </w:rPr>
        <w:t xml:space="preserve">×  </w:t>
      </w:r>
      <w:r>
        <w:rPr>
          <w:b/>
          <w:bCs/>
          <w:sz w:val="22"/>
          <w:szCs w:val="22"/>
        </w:rPr>
        <w:t xml:space="preserve">SERVICII </w:t>
      </w:r>
    </w:p>
    <w:p>
      <w:pPr>
        <w:pStyle w:val="Default"/>
        <w:spacing w:lineRule="auto" w:line="276"/>
        <w:ind w:left="1440" w:firstLine="720"/>
        <w:jc w:val="both"/>
        <w:rPr>
          <w:sz w:val="22"/>
          <w:szCs w:val="22"/>
        </w:rPr>
      </w:pPr>
      <w:r>
        <w:rPr>
          <w:rFonts w:eastAsia="Trebuchet MS"/>
          <w:b/>
          <w:bCs/>
          <w:sz w:val="22"/>
          <w:szCs w:val="22"/>
        </w:rPr>
        <w:t xml:space="preserve">□  </w:t>
      </w:r>
      <w:r>
        <w:rPr>
          <w:sz w:val="22"/>
          <w:szCs w:val="22"/>
        </w:rPr>
        <w:t xml:space="preserve">SPRIJIN FORFETAR </w:t>
      </w:r>
    </w:p>
    <w:p>
      <w:pPr>
        <w:pStyle w:val="Default"/>
        <w:shd w:val="clear" w:color="auto" w:fill="E5DFEC" w:themeFill="accent4" w:themeFillTint="33"/>
        <w:spacing w:lineRule="auto" w:line="276"/>
        <w:jc w:val="both"/>
        <w:rPr>
          <w:b/>
          <w:b/>
          <w:bCs/>
          <w:sz w:val="22"/>
          <w:szCs w:val="22"/>
        </w:rPr>
      </w:pPr>
      <w:r>
        <w:rPr>
          <w:b/>
          <w:bCs/>
          <w:sz w:val="22"/>
          <w:szCs w:val="22"/>
        </w:rPr>
        <w:t xml:space="preserve">1. Descrierea generală a măsurii, inclusiv a logicii de intervenție a acesteia și a contribuției la prioritățile strategiei, la domeniile de intervenție, la obiectivele transversale și a complementarității cu alte măsuri din SDL </w:t>
      </w:r>
    </w:p>
    <w:p>
      <w:pPr>
        <w:pStyle w:val="Default"/>
        <w:spacing w:lineRule="auto" w:line="276"/>
        <w:jc w:val="both"/>
        <w:rPr>
          <w:sz w:val="22"/>
          <w:szCs w:val="22"/>
        </w:rPr>
      </w:pPr>
      <w:r>
        <w:rPr>
          <w:b/>
          <w:bCs/>
          <w:sz w:val="22"/>
          <w:szCs w:val="22"/>
        </w:rPr>
        <w:t>1.1. Scurtă justificare și corelare cu analiza SWOT</w:t>
      </w:r>
    </w:p>
    <w:p>
      <w:pPr>
        <w:pStyle w:val="Default"/>
        <w:spacing w:lineRule="auto" w:line="276"/>
        <w:jc w:val="both"/>
        <w:rPr>
          <w:sz w:val="22"/>
          <w:szCs w:val="22"/>
        </w:rPr>
      </w:pPr>
      <w:r>
        <w:rPr>
          <w:bCs/>
          <w:sz w:val="22"/>
          <w:szCs w:val="22"/>
          <w:lang w:eastAsia="ro-RO"/>
        </w:rPr>
        <w:t>Ca urmare a activităților de consultare realizate între toţi partenerii din teritoriu</w:t>
      </w:r>
      <w:r>
        <w:rPr>
          <w:bCs/>
          <w:sz w:val="22"/>
          <w:szCs w:val="22"/>
          <w:lang w:val="en-US" w:eastAsia="ro-RO"/>
        </w:rPr>
        <w:t xml:space="preserve"> </w:t>
      </w:r>
      <w:r>
        <w:rPr>
          <w:bCs/>
          <w:sz w:val="22"/>
          <w:szCs w:val="22"/>
          <w:lang w:eastAsia="ro-RO"/>
        </w:rPr>
        <w:t xml:space="preserve">și pe baza analizei diagnostic au fost identificate o serie de nevoi de formare profesională în domeniul agricol la nivelul teritoriului </w:t>
      </w:r>
      <w:r>
        <w:rPr>
          <w:b/>
          <w:bCs/>
          <w:i/>
          <w:iCs/>
          <w:color w:val="7030A0"/>
          <w:sz w:val="22"/>
          <w:szCs w:val="22"/>
          <w:lang w:eastAsia="ro-RO"/>
        </w:rPr>
        <w:t xml:space="preserve">Grupul de Acțiune Locală </w:t>
      </w:r>
      <w:bookmarkStart w:id="0" w:name="__DdeLink__22473_6261665614625"/>
      <w:r>
        <w:rPr>
          <w:b/>
          <w:bCs/>
          <w:i/>
          <w:iCs/>
          <w:color w:val="7030A0"/>
          <w:sz w:val="22"/>
          <w:szCs w:val="22"/>
          <w:lang w:eastAsia="ro-RO"/>
        </w:rPr>
        <w:t>S</w:t>
      </w:r>
      <w:bookmarkEnd w:id="0"/>
      <w:r>
        <w:rPr>
          <w:b/>
          <w:bCs/>
          <w:i/>
          <w:iCs/>
          <w:color w:val="7030A0"/>
          <w:sz w:val="22"/>
          <w:szCs w:val="22"/>
          <w:lang w:eastAsia="ro-RO"/>
        </w:rPr>
        <w:t>udul Gorjului</w:t>
      </w:r>
      <w:r>
        <w:rPr>
          <w:bCs/>
          <w:sz w:val="22"/>
          <w:szCs w:val="22"/>
          <w:lang w:eastAsia="ro-RO"/>
        </w:rPr>
        <w:t xml:space="preserve">. Astfel, o mare parte din populația activă din teritoriu este ocupată în agricultură, în cadrul exploatațiilor de dimensiuni mici și mijlocii, ce reprezintă </w:t>
      </w:r>
      <w:r>
        <w:rPr>
          <w:b/>
          <w:bCs/>
          <w:sz w:val="22"/>
          <w:szCs w:val="22"/>
          <w:lang w:eastAsia="ro-RO"/>
        </w:rPr>
        <w:t>95,80%</w:t>
      </w:r>
      <w:r>
        <w:rPr>
          <w:bCs/>
          <w:sz w:val="22"/>
          <w:szCs w:val="22"/>
          <w:lang w:eastAsia="ro-RO"/>
        </w:rPr>
        <w:t xml:space="preserve"> din totalul exploatațiilor existente în localitățile componente. </w:t>
      </w:r>
    </w:p>
    <w:p>
      <w:pPr>
        <w:pStyle w:val="Normal"/>
        <w:spacing w:before="0" w:after="0"/>
        <w:jc w:val="both"/>
        <w:rPr>
          <w:rFonts w:ascii="Trebuchet MS" w:hAnsi="Trebuchet MS"/>
          <w:sz w:val="22"/>
          <w:szCs w:val="22"/>
        </w:rPr>
      </w:pPr>
      <w:r>
        <w:rPr>
          <w:rFonts w:cs="Arial" w:ascii="Trebuchet MS" w:hAnsi="Trebuchet MS"/>
          <w:bCs/>
          <w:iCs/>
          <w:color w:val="000000" w:themeColor="text1"/>
          <w:sz w:val="22"/>
          <w:szCs w:val="22"/>
          <w:lang w:eastAsia="ro-RO"/>
        </w:rPr>
        <w:t xml:space="preserve">În ceea ce privește nivelul de instruire al șefilor de exploatații agricole de la nivelul teritoriului, analiza diagnostic a relevat faptul că, doar </w:t>
      </w:r>
      <w:r>
        <w:rPr>
          <w:rFonts w:cs="Arial" w:ascii="Trebuchet MS" w:hAnsi="Trebuchet MS"/>
          <w:b/>
          <w:bCs/>
          <w:iCs/>
          <w:color w:val="000000" w:themeColor="text1"/>
          <w:sz w:val="22"/>
          <w:szCs w:val="22"/>
          <w:lang w:eastAsia="ro-RO"/>
        </w:rPr>
        <w:t>0,09%</w:t>
      </w:r>
      <w:r>
        <w:rPr>
          <w:rFonts w:cs="Arial" w:ascii="Trebuchet MS" w:hAnsi="Trebuchet MS"/>
          <w:bCs/>
          <w:iCs/>
          <w:color w:val="000000" w:themeColor="text1"/>
          <w:sz w:val="22"/>
          <w:szCs w:val="22"/>
          <w:lang w:eastAsia="ro-RO"/>
        </w:rPr>
        <w:t xml:space="preserve"> dintre aceștia dețin </w:t>
      </w:r>
      <w:r>
        <w:rPr>
          <w:rFonts w:cs="Arial" w:ascii="Trebuchet MS" w:hAnsi="Trebuchet MS"/>
          <w:b/>
          <w:bCs/>
          <w:iCs/>
          <w:color w:val="000000" w:themeColor="text1"/>
          <w:sz w:val="22"/>
          <w:szCs w:val="22"/>
          <w:lang w:eastAsia="ro-RO"/>
        </w:rPr>
        <w:t>pregătire agricolă completă, 0,24%</w:t>
      </w:r>
      <w:r>
        <w:rPr>
          <w:rFonts w:cs="Arial" w:ascii="Trebuchet MS" w:hAnsi="Trebuchet MS"/>
          <w:bCs/>
          <w:iCs/>
          <w:color w:val="000000" w:themeColor="text1"/>
          <w:sz w:val="22"/>
          <w:szCs w:val="22"/>
          <w:lang w:eastAsia="ro-RO"/>
        </w:rPr>
        <w:t xml:space="preserve"> având un nivel de </w:t>
      </w:r>
      <w:r>
        <w:rPr>
          <w:rFonts w:cs="Arial" w:ascii="Trebuchet MS" w:hAnsi="Trebuchet MS"/>
          <w:b/>
          <w:bCs/>
          <w:iCs/>
          <w:color w:val="000000" w:themeColor="text1"/>
          <w:sz w:val="22"/>
          <w:szCs w:val="22"/>
          <w:lang w:eastAsia="ro-RO"/>
        </w:rPr>
        <w:t>pregătire de bază</w:t>
      </w:r>
      <w:r>
        <w:rPr>
          <w:rFonts w:cs="Arial" w:ascii="Trebuchet MS" w:hAnsi="Trebuchet MS"/>
          <w:bCs/>
          <w:iCs/>
          <w:color w:val="000000" w:themeColor="text1"/>
          <w:sz w:val="22"/>
          <w:szCs w:val="22"/>
          <w:lang w:eastAsia="ro-RO"/>
        </w:rPr>
        <w:t xml:space="preserve">, iar diferența de </w:t>
      </w:r>
      <w:r>
        <w:rPr>
          <w:rFonts w:cs="Arial" w:ascii="Trebuchet MS" w:hAnsi="Trebuchet MS"/>
          <w:b/>
          <w:bCs/>
          <w:iCs/>
          <w:color w:val="000000" w:themeColor="text1"/>
          <w:sz w:val="22"/>
          <w:szCs w:val="22"/>
          <w:lang w:eastAsia="ro-RO"/>
        </w:rPr>
        <w:t>99,67%</w:t>
      </w:r>
      <w:r>
        <w:rPr>
          <w:rFonts w:cs="Arial" w:ascii="Trebuchet MS" w:hAnsi="Trebuchet MS"/>
          <w:bCs/>
          <w:iCs/>
          <w:color w:val="000000" w:themeColor="text1"/>
          <w:sz w:val="22"/>
          <w:szCs w:val="22"/>
          <w:lang w:eastAsia="ro-RO"/>
        </w:rPr>
        <w:t xml:space="preserve">  se bazează numai pe </w:t>
      </w:r>
      <w:r>
        <w:rPr>
          <w:rFonts w:cs="Arial" w:ascii="Trebuchet MS" w:hAnsi="Trebuchet MS"/>
          <w:b/>
          <w:bCs/>
          <w:iCs/>
          <w:color w:val="000000" w:themeColor="text1"/>
          <w:sz w:val="22"/>
          <w:szCs w:val="22"/>
          <w:lang w:eastAsia="ro-RO"/>
        </w:rPr>
        <w:t>experiența practică agricolă</w:t>
      </w:r>
      <w:r>
        <w:rPr>
          <w:rFonts w:cs="Arial" w:ascii="Trebuchet MS" w:hAnsi="Trebuchet MS"/>
          <w:bCs/>
          <w:iCs/>
          <w:color w:val="000000" w:themeColor="text1"/>
          <w:sz w:val="22"/>
          <w:szCs w:val="22"/>
          <w:lang w:eastAsia="ro-RO"/>
        </w:rPr>
        <w:t>.</w:t>
      </w:r>
    </w:p>
    <w:p>
      <w:pPr>
        <w:pStyle w:val="Normal"/>
        <w:spacing w:before="0" w:after="0"/>
        <w:jc w:val="both"/>
        <w:rPr>
          <w:rFonts w:ascii="Trebuchet MS" w:hAnsi="Trebuchet MS"/>
          <w:sz w:val="22"/>
          <w:szCs w:val="22"/>
        </w:rPr>
      </w:pPr>
      <w:r>
        <w:rPr>
          <w:rFonts w:cs="Arial" w:ascii="Trebuchet MS" w:hAnsi="Trebuchet MS"/>
          <w:bCs/>
          <w:iCs/>
          <w:color w:val="000000" w:themeColor="text1"/>
          <w:sz w:val="22"/>
          <w:szCs w:val="22"/>
          <w:lang w:eastAsia="ro-RO"/>
        </w:rPr>
        <w:t>Astfel, analiza întreprinsă a relevat faptul că, majoritatea fermierilor nu dețin cunoștințe adecvate de management, utilizare a tehnologiilor moderne, inovative, axându-se preponderent pe experiența practică tradițională.</w:t>
      </w:r>
    </w:p>
    <w:p>
      <w:pPr>
        <w:pStyle w:val="Default"/>
        <w:spacing w:lineRule="auto" w:line="276"/>
        <w:jc w:val="both"/>
        <w:rPr>
          <w:sz w:val="22"/>
          <w:szCs w:val="22"/>
        </w:rPr>
      </w:pPr>
      <w:r>
        <w:rPr>
          <w:bCs/>
          <w:sz w:val="22"/>
          <w:szCs w:val="22"/>
          <w:lang w:eastAsia="ro-RO"/>
        </w:rPr>
        <w:t>Evoluția și specializarea în agricultură necesită un nivel corespunzător de instruire, inclusiv prin dobândirea de cunoștințe cu privire la noile tehnologii existente, la practicile favorabile de mediu, în vederea alinierii la cerințele comunitare în domeniu.</w:t>
      </w:r>
    </w:p>
    <w:p>
      <w:pPr>
        <w:pStyle w:val="Normal"/>
        <w:spacing w:before="0" w:after="0"/>
        <w:jc w:val="both"/>
        <w:rPr>
          <w:rFonts w:ascii="Trebuchet MS" w:hAnsi="Trebuchet MS"/>
          <w:sz w:val="22"/>
          <w:szCs w:val="22"/>
        </w:rPr>
      </w:pPr>
      <w:r>
        <w:rPr>
          <w:rFonts w:cs="Trebuchet MS" w:ascii="Trebuchet MS" w:hAnsi="Trebuchet MS"/>
          <w:bCs/>
          <w:sz w:val="22"/>
          <w:szCs w:val="22"/>
        </w:rPr>
        <w:t xml:space="preserve">Astfel, se impune crearea unei capacități mai mari de acces și schimb de cunoștințe și informații, inclusiv prin difuzarea bunelor practici de producție agricolă. Programele de formare profesională le va permite persoanelor ce desfășoară activități agricole ca, prin cunoștințele și informațiile dobândite, să-și sporească în special competitivitatea, să utilizeze mai eficient resursele prin utilizarea unor tehnologii și procese inovative, dar și să îmbunătățească performanțele de mediu, contribuind totodată la durabilitatea economiei teritoriului. </w:t>
      </w:r>
    </w:p>
    <w:p>
      <w:pPr>
        <w:pStyle w:val="Normal"/>
        <w:spacing w:before="0" w:after="0"/>
        <w:jc w:val="both"/>
        <w:rPr>
          <w:rFonts w:ascii="Trebuchet MS" w:hAnsi="Trebuchet MS"/>
          <w:sz w:val="22"/>
          <w:szCs w:val="22"/>
        </w:rPr>
      </w:pPr>
      <w:r>
        <w:rPr>
          <w:rFonts w:cs="Trebuchet MS" w:ascii="Trebuchet MS" w:hAnsi="Trebuchet MS"/>
          <w:bCs/>
          <w:sz w:val="22"/>
          <w:szCs w:val="22"/>
        </w:rPr>
        <w:t xml:space="preserve">În vederea creării premiselor dezvoltării durabile a teritoriului se impune plasarea accentului pe sprijinirea producătorilor agricoli, prin </w:t>
      </w:r>
      <w:r>
        <w:rPr>
          <w:rFonts w:cs="Trebuchet MS" w:ascii="Trebuchet MS" w:hAnsi="Trebuchet MS"/>
          <w:bCs/>
          <w:i/>
          <w:sz w:val="22"/>
          <w:szCs w:val="22"/>
        </w:rPr>
        <w:t>transferul de cunoștințe și inovarea în agricultură</w:t>
      </w:r>
      <w:r>
        <w:rPr>
          <w:rFonts w:cs="Trebuchet MS" w:ascii="Trebuchet MS" w:hAnsi="Trebuchet MS"/>
          <w:bCs/>
          <w:sz w:val="22"/>
          <w:szCs w:val="22"/>
        </w:rPr>
        <w:t>. Prin transferul de cunoștințe și acțiunile de informare, fermierii, vor reuși să-și îmbunătățească performanța generală a exploatației.</w:t>
      </w:r>
    </w:p>
    <w:p>
      <w:pPr>
        <w:pStyle w:val="Default"/>
        <w:spacing w:lineRule="auto" w:line="276"/>
        <w:jc w:val="both"/>
        <w:rPr>
          <w:bCs/>
          <w:sz w:val="22"/>
          <w:szCs w:val="22"/>
        </w:rPr>
      </w:pPr>
      <w:r>
        <w:rPr>
          <w:rFonts w:cs="Arial"/>
          <w:bCs/>
          <w:sz w:val="22"/>
          <w:szCs w:val="22"/>
        </w:rPr>
        <w:t>Totodată, contribuția măsurii se va reflecta într-o mai bună evaluare a performanțelor exploatației agricole de către beneficiari și la identificarea îmbunătățirilor necesare în materie de gestionare, bune condiții agricole și de mediu, practici agricole benefice pentru climă și mediu, etc.</w:t>
      </w:r>
    </w:p>
    <w:p>
      <w:pPr>
        <w:pStyle w:val="Default"/>
        <w:spacing w:lineRule="auto" w:line="276"/>
        <w:jc w:val="both"/>
        <w:rPr>
          <w:color w:val="5F497A" w:themeColor="accent4" w:themeShade="bf"/>
          <w:sz w:val="22"/>
          <w:szCs w:val="22"/>
        </w:rPr>
      </w:pPr>
      <w:r>
        <w:rPr>
          <w:b/>
          <w:bCs/>
          <w:sz w:val="22"/>
          <w:szCs w:val="22"/>
        </w:rPr>
        <w:t xml:space="preserve">1.2. Obiectiv(e) de dezvoltare rurală </w:t>
      </w:r>
      <w:r>
        <w:rPr>
          <w:b/>
          <w:bCs/>
          <w:color w:val="5F497A" w:themeColor="accent4" w:themeShade="bf"/>
          <w:sz w:val="22"/>
          <w:szCs w:val="22"/>
          <w:lang w:val="en-US"/>
        </w:rPr>
        <w:t>M1</w:t>
      </w:r>
      <w:r>
        <w:rPr>
          <w:b/>
          <w:bCs/>
          <w:i/>
          <w:iCs/>
          <w:color w:val="5F497A" w:themeColor="accent4" w:themeShade="bf"/>
          <w:sz w:val="22"/>
          <w:szCs w:val="22"/>
        </w:rPr>
        <w:t>: a).</w:t>
      </w:r>
      <w:r>
        <w:rPr>
          <w:b/>
          <w:bCs/>
          <w:color w:val="5F497A" w:themeColor="accent4" w:themeShade="bf"/>
          <w:sz w:val="22"/>
          <w:szCs w:val="22"/>
        </w:rPr>
        <w:t xml:space="preserve"> </w:t>
      </w:r>
      <w:r>
        <w:rPr>
          <w:b/>
          <w:bCs/>
          <w:i/>
          <w:iCs/>
          <w:color w:val="5F497A" w:themeColor="accent4" w:themeShade="bf"/>
          <w:sz w:val="22"/>
          <w:szCs w:val="22"/>
        </w:rPr>
        <w:t>favorizarea competitivității agriculturii; c). obținerea unei dezvoltări teritoriale echilibrate a economiilor și comunităților rurale, inclusiv crearea și menținerea locurilor de muncă.</w:t>
      </w:r>
    </w:p>
    <w:p>
      <w:pPr>
        <w:pStyle w:val="Default"/>
        <w:spacing w:lineRule="auto" w:line="276"/>
        <w:jc w:val="both"/>
        <w:rPr>
          <w:color w:val="5F497A" w:themeColor="accent4" w:themeShade="bf"/>
          <w:sz w:val="22"/>
          <w:szCs w:val="22"/>
        </w:rPr>
      </w:pPr>
      <w:r>
        <w:rPr>
          <w:b/>
          <w:bCs/>
          <w:sz w:val="22"/>
          <w:szCs w:val="22"/>
        </w:rPr>
        <w:t xml:space="preserve">1.3. Obiectiv(e) specific(e) al(e) măsurii </w:t>
      </w:r>
      <w:r>
        <w:rPr>
          <w:b/>
          <w:bCs/>
          <w:color w:val="5F497A" w:themeColor="accent4" w:themeShade="bf"/>
          <w:sz w:val="22"/>
          <w:szCs w:val="22"/>
        </w:rPr>
        <w:t>M</w:t>
      </w:r>
      <w:r>
        <w:rPr>
          <w:b/>
          <w:bCs/>
          <w:color w:val="5F497A" w:themeColor="accent4" w:themeShade="bf"/>
          <w:sz w:val="22"/>
          <w:szCs w:val="22"/>
          <w:lang w:val="en-US"/>
        </w:rPr>
        <w:t>1</w:t>
      </w:r>
      <w:r>
        <w:rPr>
          <w:b/>
          <w:bCs/>
          <w:sz w:val="22"/>
          <w:szCs w:val="22"/>
        </w:rPr>
        <w:t xml:space="preserve">: </w:t>
      </w:r>
      <w:r>
        <w:rPr>
          <w:b/>
          <w:bCs/>
          <w:i/>
          <w:iCs/>
          <w:color w:val="5F497A" w:themeColor="accent4" w:themeShade="bf"/>
          <w:sz w:val="22"/>
          <w:szCs w:val="22"/>
        </w:rPr>
        <w:t>Gestionarea durabilă și eficientă a terenurilor şi asigurarea măsurilor adecvate de protecţiei a mediului, prin aplicarea de tehnologii şi practici actuale, și prin dobândirea cunoștințelor de bună practică în producţia agricolă; Consolidarea și dezvoltarea fermelor prin aplicarea de tehnici și tehnologii agricole inovative;</w:t>
      </w:r>
      <w:r>
        <w:rPr>
          <w:rFonts w:cs="Palatino Linotype"/>
          <w:b/>
          <w:bCs/>
          <w:i/>
          <w:iCs/>
          <w:color w:val="5F497A" w:themeColor="accent4" w:themeShade="bf"/>
          <w:sz w:val="22"/>
          <w:szCs w:val="22"/>
        </w:rPr>
        <w:t xml:space="preserve"> Creșterea calității producției agricole; </w:t>
      </w:r>
      <w:r>
        <w:rPr>
          <w:b/>
          <w:bCs/>
          <w:i/>
          <w:iCs/>
          <w:color w:val="5F497A" w:themeColor="accent4" w:themeShade="bf"/>
          <w:sz w:val="22"/>
          <w:szCs w:val="22"/>
        </w:rPr>
        <w:t>Utilizarea eficientă a resurselor.</w:t>
      </w:r>
    </w:p>
    <w:p>
      <w:pPr>
        <w:pStyle w:val="Default"/>
        <w:spacing w:lineRule="auto" w:line="276"/>
        <w:jc w:val="both"/>
        <w:rPr>
          <w:sz w:val="22"/>
          <w:szCs w:val="22"/>
        </w:rPr>
      </w:pPr>
      <w:r>
        <w:rPr>
          <w:b/>
          <w:sz w:val="22"/>
          <w:szCs w:val="22"/>
        </w:rPr>
        <w:t>1.4.</w:t>
      </w:r>
      <w:r>
        <w:rPr>
          <w:sz w:val="22"/>
          <w:szCs w:val="22"/>
        </w:rPr>
        <w:t xml:space="preserve"> </w:t>
      </w:r>
      <w:r>
        <w:rPr>
          <w:b/>
          <w:bCs/>
          <w:sz w:val="22"/>
          <w:szCs w:val="22"/>
        </w:rPr>
        <w:t xml:space="preserve">Măsura contribuie la prioritatea/prioritățile prevăzute la art. 5, Reg. (UE) nr. 1305/2013: </w:t>
      </w:r>
      <w:r>
        <w:rPr>
          <w:b/>
          <w:bCs/>
          <w:i/>
          <w:iCs/>
          <w:color w:val="5F497A" w:themeColor="accent4" w:themeShade="bf"/>
          <w:sz w:val="22"/>
          <w:szCs w:val="22"/>
        </w:rPr>
        <w:t>P1 „Încurajarea transferului de cunoștințe și a inovării în agricultură, silvicultură și în zonele rurale.”</w:t>
      </w:r>
    </w:p>
    <w:p>
      <w:pPr>
        <w:pStyle w:val="Default"/>
        <w:spacing w:lineRule="auto" w:line="276"/>
        <w:jc w:val="both"/>
        <w:rPr>
          <w:sz w:val="22"/>
          <w:szCs w:val="22"/>
        </w:rPr>
      </w:pPr>
      <w:r>
        <w:rPr>
          <w:b/>
          <w:bCs/>
          <w:sz w:val="22"/>
          <w:szCs w:val="22"/>
        </w:rPr>
        <w:t>1.5. Măsura corespunde obiectivelor art.</w:t>
      </w:r>
      <w:r>
        <w:rPr>
          <w:b/>
          <w:bCs/>
          <w:color w:val="31849B"/>
          <w:sz w:val="22"/>
          <w:szCs w:val="22"/>
        </w:rPr>
        <w:t xml:space="preserve"> </w:t>
      </w:r>
      <w:r>
        <w:rPr>
          <w:b/>
          <w:bCs/>
          <w:color w:val="808080"/>
          <w:sz w:val="22"/>
          <w:szCs w:val="22"/>
        </w:rPr>
        <w:t>14</w:t>
      </w:r>
      <w:r>
        <w:rPr>
          <w:b/>
          <w:bCs/>
          <w:color w:val="31849B"/>
          <w:sz w:val="22"/>
          <w:szCs w:val="22"/>
        </w:rPr>
        <w:t xml:space="preserve"> </w:t>
      </w:r>
      <w:r>
        <w:rPr>
          <w:b/>
          <w:bCs/>
          <w:sz w:val="22"/>
          <w:szCs w:val="22"/>
        </w:rPr>
        <w:t xml:space="preserve">din Reg. (UE) nr. 1305/2013 </w:t>
      </w:r>
    </w:p>
    <w:p>
      <w:pPr>
        <w:pStyle w:val="Default"/>
        <w:spacing w:lineRule="auto" w:line="276"/>
        <w:jc w:val="both"/>
        <w:rPr>
          <w:sz w:val="22"/>
          <w:szCs w:val="22"/>
        </w:rPr>
      </w:pPr>
      <w:r>
        <w:rPr>
          <w:b/>
          <w:bCs/>
          <w:sz w:val="22"/>
          <w:szCs w:val="22"/>
        </w:rPr>
        <w:t>1.6. Măsura contribuie la Domeniul de intervenție</w:t>
      </w:r>
      <w:r>
        <w:rPr>
          <w:sz w:val="22"/>
          <w:szCs w:val="22"/>
        </w:rPr>
        <w:t xml:space="preserve"> </w:t>
      </w:r>
      <w:r>
        <w:rPr>
          <w:b/>
          <w:bCs/>
          <w:i/>
          <w:iCs/>
          <w:color w:val="5F497A" w:themeColor="accent4" w:themeShade="bf"/>
          <w:sz w:val="22"/>
          <w:szCs w:val="22"/>
        </w:rPr>
        <w:t>1C) Încurajarea învățării pe tot parcursul vieții și a formării profesionale în sectoarele agricol și forestier.</w:t>
      </w:r>
    </w:p>
    <w:p>
      <w:pPr>
        <w:pStyle w:val="Default"/>
        <w:spacing w:lineRule="auto" w:line="276"/>
        <w:jc w:val="both"/>
        <w:rPr>
          <w:sz w:val="22"/>
          <w:szCs w:val="22"/>
        </w:rPr>
      </w:pPr>
      <w:r>
        <w:rPr>
          <w:b/>
          <w:bCs/>
          <w:sz w:val="22"/>
          <w:szCs w:val="22"/>
        </w:rPr>
        <w:t xml:space="preserve">1.7. Măsura contribuie la obiectivele transversale ale Reg. (UE) nr. 1305/2013: </w:t>
      </w:r>
      <w:r>
        <w:rPr>
          <w:b/>
          <w:bCs/>
          <w:i/>
          <w:iCs/>
          <w:color w:val="5F497A" w:themeColor="accent4" w:themeShade="bf"/>
          <w:sz w:val="22"/>
          <w:szCs w:val="22"/>
        </w:rPr>
        <w:t>mediu, clima si inovare</w:t>
      </w:r>
      <w:r>
        <w:rPr>
          <w:sz w:val="22"/>
          <w:szCs w:val="22"/>
        </w:rPr>
        <w:t>, în conformitate cu art. 5, Reg. (UE) nr. 1305/2013</w:t>
      </w:r>
      <w:r>
        <w:rPr>
          <w:b/>
          <w:bCs/>
          <w:i/>
          <w:iCs/>
          <w:color w:val="808080"/>
          <w:sz w:val="22"/>
          <w:szCs w:val="22"/>
        </w:rPr>
        <w:t>.</w:t>
      </w:r>
    </w:p>
    <w:p>
      <w:pPr>
        <w:pStyle w:val="Default"/>
        <w:spacing w:lineRule="auto" w:line="276"/>
        <w:jc w:val="both"/>
        <w:rPr>
          <w:sz w:val="22"/>
          <w:szCs w:val="22"/>
        </w:rPr>
      </w:pPr>
      <w:r>
        <w:rPr>
          <w:b/>
          <w:bCs/>
          <w:sz w:val="22"/>
          <w:szCs w:val="22"/>
        </w:rPr>
        <w:t xml:space="preserve">1.8. Complementaritatea cu alte măsuri din SDL: </w:t>
      </w:r>
      <w:r>
        <w:rPr>
          <w:b/>
          <w:bCs/>
          <w:color w:val="5F497A" w:themeColor="accent4" w:themeShade="bf"/>
          <w:sz w:val="22"/>
          <w:szCs w:val="22"/>
        </w:rPr>
        <w:t xml:space="preserve">M2.1. / 2A; </w:t>
      </w:r>
      <w:r>
        <w:rPr>
          <w:b/>
          <w:bCs/>
          <w:color w:val="5F497A" w:themeColor="accent4" w:themeShade="bf"/>
          <w:sz w:val="22"/>
          <w:szCs w:val="22"/>
          <w:lang w:val="en-US"/>
        </w:rPr>
        <w:t>M2.2 / 2B.</w:t>
      </w:r>
      <w:r>
        <w:rPr>
          <w:color w:val="808080"/>
          <w:sz w:val="22"/>
          <w:szCs w:val="22"/>
        </w:rPr>
        <w:t xml:space="preserve"> </w:t>
      </w:r>
    </w:p>
    <w:p>
      <w:pPr>
        <w:pStyle w:val="Default"/>
        <w:spacing w:lineRule="auto" w:line="276"/>
        <w:jc w:val="both"/>
        <w:rPr>
          <w:sz w:val="22"/>
          <w:szCs w:val="22"/>
        </w:rPr>
      </w:pPr>
      <w:r>
        <w:rPr>
          <w:b/>
          <w:bCs/>
          <w:sz w:val="22"/>
          <w:szCs w:val="22"/>
        </w:rPr>
        <w:t>1.9. Sinergia cu alte măsuri din SDL:</w:t>
      </w:r>
      <w:r>
        <w:rPr>
          <w:sz w:val="22"/>
          <w:szCs w:val="22"/>
        </w:rPr>
        <w:t xml:space="preserve"> </w:t>
      </w:r>
      <w:r>
        <w:rPr>
          <w:color w:val="808080"/>
          <w:sz w:val="22"/>
          <w:szCs w:val="22"/>
        </w:rPr>
        <w:t xml:space="preserve">- </w:t>
      </w:r>
    </w:p>
    <w:p>
      <w:pPr>
        <w:pStyle w:val="Default"/>
        <w:shd w:val="clear" w:color="auto" w:fill="E5DFEC" w:themeFill="accent4" w:themeFillTint="33"/>
        <w:spacing w:lineRule="auto" w:line="276"/>
        <w:rPr>
          <w:sz w:val="22"/>
          <w:szCs w:val="22"/>
        </w:rPr>
      </w:pPr>
      <w:r>
        <w:rPr>
          <w:b/>
          <w:bCs/>
          <w:sz w:val="22"/>
          <w:szCs w:val="22"/>
        </w:rPr>
        <w:t xml:space="preserve">2. Valoarea adăugată a măsurii </w:t>
      </w:r>
    </w:p>
    <w:p>
      <w:pPr>
        <w:pStyle w:val="Default"/>
        <w:spacing w:lineRule="auto" w:line="276"/>
        <w:jc w:val="both"/>
        <w:rPr>
          <w:sz w:val="22"/>
          <w:szCs w:val="22"/>
        </w:rPr>
      </w:pPr>
      <w:r>
        <w:rPr>
          <w:sz w:val="22"/>
          <w:szCs w:val="22"/>
          <w:lang w:val="en-US"/>
        </w:rPr>
        <w:t>Valoarea ad</w:t>
      </w:r>
      <w:r>
        <w:rPr>
          <w:sz w:val="22"/>
          <w:szCs w:val="22"/>
        </w:rPr>
        <w:t xml:space="preserve">ăugată a acestei măsuri rezidă, în primul rând în </w:t>
      </w:r>
      <w:r>
        <w:rPr>
          <w:b/>
          <w:bCs/>
          <w:sz w:val="22"/>
          <w:szCs w:val="22"/>
          <w:u w:val="single"/>
        </w:rPr>
        <w:t>impactul generat</w:t>
      </w:r>
      <w:r>
        <w:rPr>
          <w:b/>
          <w:bCs/>
          <w:sz w:val="22"/>
          <w:szCs w:val="22"/>
        </w:rPr>
        <w:t xml:space="preserve"> (a) </w:t>
      </w:r>
      <w:r>
        <w:rPr>
          <w:sz w:val="22"/>
          <w:szCs w:val="22"/>
        </w:rPr>
        <w:t xml:space="preserve">la nivelul teritoriului </w:t>
      </w:r>
      <w:r>
        <w:rPr>
          <w:b/>
          <w:bCs/>
          <w:i/>
          <w:iCs/>
          <w:color w:val="7030A0"/>
          <w:sz w:val="22"/>
          <w:szCs w:val="22"/>
          <w:lang w:eastAsia="ro-RO"/>
        </w:rPr>
        <w:t>Grupului de Acțiune Locală Sudul Gorjului</w:t>
      </w:r>
      <w:r>
        <w:rPr>
          <w:rFonts w:cs="Arial"/>
          <w:sz w:val="22"/>
          <w:szCs w:val="22"/>
        </w:rPr>
        <w:t xml:space="preserve"> și în al doilea rând în </w:t>
      </w:r>
      <w:r>
        <w:rPr>
          <w:rFonts w:cs="Arial"/>
          <w:b/>
          <w:bCs/>
          <w:sz w:val="22"/>
          <w:szCs w:val="22"/>
          <w:u w:val="single"/>
        </w:rPr>
        <w:t>caracterul inovator și integrat</w:t>
      </w:r>
      <w:r>
        <w:rPr>
          <w:rFonts w:cs="Arial"/>
          <w:b/>
          <w:bCs/>
          <w:sz w:val="22"/>
          <w:szCs w:val="22"/>
        </w:rPr>
        <w:t xml:space="preserve"> (b) </w:t>
      </w:r>
      <w:r>
        <w:rPr>
          <w:rFonts w:cs="Arial"/>
          <w:sz w:val="22"/>
          <w:szCs w:val="22"/>
        </w:rPr>
        <w:t>al intervenției.</w:t>
      </w:r>
    </w:p>
    <w:p>
      <w:pPr>
        <w:pStyle w:val="Default"/>
        <w:spacing w:lineRule="auto" w:line="276"/>
        <w:jc w:val="both"/>
        <w:rPr>
          <w:sz w:val="22"/>
          <w:szCs w:val="22"/>
        </w:rPr>
      </w:pPr>
      <w:r>
        <w:rPr>
          <w:b/>
          <w:bCs/>
          <w:sz w:val="22"/>
          <w:szCs w:val="22"/>
        </w:rPr>
        <w:t xml:space="preserve">(a) </w:t>
      </w:r>
      <w:r>
        <w:rPr>
          <w:sz w:val="22"/>
          <w:szCs w:val="22"/>
        </w:rPr>
        <w:t xml:space="preserve">Măsura va contribui la diseminarea şi înţelegerea practică a aplicării şi respectării bunelor practici agricole şi de mediu, asigurând condiţiile de protejare a mediului înconjurător şi utilizarea unor practici agricole </w:t>
      </w:r>
      <w:r>
        <w:rPr>
          <w:sz w:val="22"/>
          <w:szCs w:val="22"/>
          <w:lang w:val="en-US"/>
        </w:rPr>
        <w:t xml:space="preserve">moderne, inovative </w:t>
      </w:r>
      <w:r>
        <w:rPr>
          <w:sz w:val="22"/>
          <w:szCs w:val="22"/>
        </w:rPr>
        <w:t xml:space="preserve">și prietenoase cu mediul. Totodată, dobândirea de cunoștințe noi va contribui şi la elaborarea planurilor de afaceri necesare pentru accesarea fondurilor, ceea ce va determina stabilizarea fermierilor în teritoriu. </w:t>
      </w:r>
    </w:p>
    <w:p>
      <w:pPr>
        <w:pStyle w:val="Normal"/>
        <w:spacing w:before="0" w:after="0"/>
        <w:jc w:val="both"/>
        <w:rPr>
          <w:rFonts w:ascii="Trebuchet MS" w:hAnsi="Trebuchet MS"/>
          <w:sz w:val="22"/>
          <w:szCs w:val="22"/>
        </w:rPr>
      </w:pPr>
      <w:r>
        <w:rPr>
          <w:rFonts w:cs="Trebuchet MS" w:ascii="Trebuchet MS" w:hAnsi="Trebuchet MS"/>
          <w:bCs/>
          <w:sz w:val="22"/>
          <w:szCs w:val="22"/>
        </w:rPr>
        <w:t>Prin intermediul măsurii vor fi sprijinite activități de îndrumare profesională, de informare, adaptate la nevoile de formare ale fermierilor din teritoriu, cu o contribuție majoră în eficientizarea managementului exploataţiilor.</w:t>
      </w:r>
    </w:p>
    <w:p>
      <w:pPr>
        <w:pStyle w:val="Normal"/>
        <w:spacing w:before="0" w:after="0"/>
        <w:jc w:val="both"/>
        <w:rPr>
          <w:rFonts w:ascii="Trebuchet MS" w:hAnsi="Trebuchet MS"/>
          <w:sz w:val="22"/>
          <w:szCs w:val="22"/>
        </w:rPr>
      </w:pPr>
      <w:r>
        <w:rPr>
          <w:rFonts w:cs="Trebuchet MS" w:ascii="Trebuchet MS" w:hAnsi="Trebuchet MS"/>
          <w:bCs/>
          <w:sz w:val="22"/>
          <w:szCs w:val="22"/>
        </w:rPr>
        <w:t>În consecință,</w:t>
      </w:r>
      <w:r>
        <w:rPr>
          <w:rFonts w:cs="Trebuchet MS" w:ascii="Trebuchet MS" w:hAnsi="Trebuchet MS"/>
          <w:bCs/>
          <w:i/>
          <w:sz w:val="22"/>
          <w:szCs w:val="22"/>
        </w:rPr>
        <w:t xml:space="preserve"> </w:t>
      </w:r>
      <w:r>
        <w:rPr>
          <w:rFonts w:cs="Trebuchet MS" w:ascii="Trebuchet MS" w:hAnsi="Trebuchet MS"/>
          <w:bCs/>
          <w:sz w:val="22"/>
          <w:szCs w:val="22"/>
        </w:rPr>
        <w:t xml:space="preserve">valoarea adaugată a măsurii, rezidă în răspândirea practicilor agricole moderne, inovative, benefice pentru climă și mediu ca urmare a dobândirii capacității de evaluare a performanțelor exploatațiilor agricole. </w:t>
      </w:r>
    </w:p>
    <w:p>
      <w:pPr>
        <w:pStyle w:val="Default"/>
        <w:spacing w:lineRule="auto" w:line="276"/>
        <w:jc w:val="both"/>
        <w:rPr>
          <w:sz w:val="22"/>
          <w:szCs w:val="22"/>
        </w:rPr>
      </w:pPr>
      <w:r>
        <w:rPr>
          <w:sz w:val="22"/>
          <w:szCs w:val="22"/>
        </w:rPr>
        <w:t>Impactul măsurii la nivelul teritoriului se va traduce în utilizarea mai eficientă a resurselor, îmbunătăţirea performanţelor de mediu și dobândirea cunoştinţelor de management a riscurilor la care pot fi supuse exploataţiile.</w:t>
      </w:r>
    </w:p>
    <w:p>
      <w:pPr>
        <w:pStyle w:val="Default"/>
        <w:spacing w:lineRule="auto" w:line="276"/>
        <w:jc w:val="both"/>
        <w:rPr>
          <w:sz w:val="22"/>
          <w:szCs w:val="22"/>
        </w:rPr>
      </w:pPr>
      <w:r>
        <w:rPr>
          <w:sz w:val="22"/>
          <w:szCs w:val="22"/>
        </w:rPr>
        <w:t>Acțiunile de formare profesională vor contribui la transferul de conoștințe, promovarea cooperării, inclusiv la diseminarea rezultatelor obținute în urma activităților realizate.</w:t>
      </w:r>
    </w:p>
    <w:p>
      <w:pPr>
        <w:pStyle w:val="Default"/>
        <w:spacing w:lineRule="auto" w:line="276"/>
        <w:jc w:val="both"/>
        <w:rPr>
          <w:sz w:val="22"/>
          <w:szCs w:val="22"/>
        </w:rPr>
      </w:pPr>
      <w:r>
        <w:rPr>
          <w:b/>
          <w:bCs/>
          <w:sz w:val="22"/>
          <w:szCs w:val="22"/>
        </w:rPr>
        <w:t>(b)</w:t>
      </w:r>
      <w:r>
        <w:rPr>
          <w:sz w:val="22"/>
          <w:szCs w:val="22"/>
        </w:rPr>
        <w:t xml:space="preserve"> Pentru a evidenția </w:t>
      </w:r>
      <w:r>
        <w:rPr>
          <w:b/>
          <w:bCs/>
          <w:sz w:val="22"/>
          <w:szCs w:val="22"/>
        </w:rPr>
        <w:t>valoarea adăugată</w:t>
      </w:r>
      <w:r>
        <w:rPr>
          <w:sz w:val="22"/>
          <w:szCs w:val="22"/>
        </w:rPr>
        <w:t xml:space="preserve"> a măsurii pornim de la modul de stabilire a condițiilor de eligibilitate și selecție, care a avut la bază </w:t>
      </w:r>
      <w:r>
        <w:rPr>
          <w:b/>
          <w:bCs/>
          <w:i/>
          <w:iCs/>
          <w:sz w:val="22"/>
          <w:szCs w:val="22"/>
        </w:rPr>
        <w:t xml:space="preserve">specificul local </w:t>
      </w:r>
      <w:r>
        <w:rPr>
          <w:sz w:val="22"/>
          <w:szCs w:val="22"/>
        </w:rPr>
        <w:t xml:space="preserve">al teritoriului. După identificarea aspectelor ce conturează specificitatea locală în cadrul analizei diagnostic a teritoriului, au fost propuse condiții de eligibilitate și selecție relevante și adecvate spațiului, în concordanță cu obiectivele stabilite. </w:t>
      </w:r>
    </w:p>
    <w:p>
      <w:pPr>
        <w:pStyle w:val="Default"/>
        <w:spacing w:lineRule="auto" w:line="276"/>
        <w:jc w:val="both"/>
        <w:rPr>
          <w:b/>
          <w:b/>
          <w:bCs/>
          <w:sz w:val="22"/>
          <w:szCs w:val="22"/>
        </w:rPr>
      </w:pPr>
      <w:r>
        <w:rPr>
          <w:b/>
          <w:bCs/>
          <w:sz w:val="22"/>
          <w:szCs w:val="22"/>
          <w:u w:val="single"/>
        </w:rPr>
        <w:t>Criteriile de eligibilitate/selectie specifice teritoriului și/sau ce releva caracterul inovator</w:t>
      </w:r>
      <w:r>
        <w:rPr>
          <w:b/>
          <w:bCs/>
          <w:sz w:val="22"/>
          <w:szCs w:val="22"/>
        </w:rPr>
        <w:t>:</w:t>
      </w:r>
    </w:p>
    <w:p>
      <w:pPr>
        <w:pStyle w:val="Default"/>
        <w:spacing w:lineRule="auto" w:line="276"/>
        <w:jc w:val="both"/>
        <w:rPr>
          <w:sz w:val="22"/>
          <w:szCs w:val="22"/>
        </w:rPr>
      </w:pPr>
      <w:r>
        <w:rPr>
          <w:b/>
          <w:bCs/>
          <w:sz w:val="22"/>
          <w:szCs w:val="22"/>
        </w:rPr>
        <w:t>CS1</w:t>
      </w:r>
      <w:r>
        <w:rPr>
          <w:sz w:val="22"/>
          <w:szCs w:val="22"/>
        </w:rPr>
        <w:t xml:space="preserve"> relevă caracterul inovator al intervenției întrucât prin accesul fermierilor la informații legate de tehnologii inovatoare ș</w:t>
      </w:r>
      <w:r>
        <w:rPr>
          <w:sz w:val="22"/>
          <w:szCs w:val="22"/>
          <w:lang w:val="en-US"/>
        </w:rPr>
        <w:t xml:space="preserve">i </w:t>
      </w:r>
      <w:r>
        <w:rPr>
          <w:sz w:val="22"/>
          <w:szCs w:val="22"/>
        </w:rPr>
        <w:t>practici noi se stimulează inovarea în domeniul agriculturii, întrucât aceștia devin mai bine pregătiți și mai înclinați să utilizeze tehnologii și practici inovatoare în domeniul lor de activitate.</w:t>
      </w:r>
    </w:p>
    <w:p>
      <w:pPr>
        <w:pStyle w:val="Default"/>
        <w:spacing w:lineRule="auto" w:line="276"/>
        <w:jc w:val="both"/>
        <w:rPr>
          <w:b/>
          <w:b/>
          <w:bCs/>
          <w:sz w:val="22"/>
          <w:szCs w:val="22"/>
        </w:rPr>
      </w:pPr>
      <w:r>
        <w:rPr>
          <w:b/>
          <w:bCs/>
          <w:sz w:val="22"/>
          <w:szCs w:val="22"/>
        </w:rPr>
        <w:t>CS2</w:t>
      </w:r>
      <w:r>
        <w:rPr>
          <w:sz w:val="22"/>
          <w:szCs w:val="22"/>
        </w:rPr>
        <w:t xml:space="preserve"> aduce valoare adăugată operațiunilor propuse prin ierarhizarea proiectelor care demonstrează angrenarea de personal cu experiență în domeniile corespunzătoare tematicilor prevăzute în cadrul activităților de formare/informare. Astfel, se va asigura un nivel calitativ ridicat al programelor de formare finanțate în cadrul SDL și o diseminarea mai rapidă a informațiilor relevante legate de domeniul agriculturii. </w:t>
      </w:r>
    </w:p>
    <w:p>
      <w:pPr>
        <w:pStyle w:val="Default"/>
        <w:spacing w:lineRule="auto" w:line="276"/>
        <w:jc w:val="both"/>
        <w:rPr>
          <w:b/>
          <w:b/>
          <w:bCs/>
          <w:sz w:val="22"/>
          <w:szCs w:val="22"/>
        </w:rPr>
      </w:pPr>
      <w:r>
        <w:rPr>
          <w:b/>
          <w:bCs/>
          <w:sz w:val="22"/>
          <w:szCs w:val="22"/>
        </w:rPr>
        <w:t xml:space="preserve">CS3 </w:t>
      </w:r>
      <w:r>
        <w:rPr>
          <w:sz w:val="22"/>
          <w:szCs w:val="22"/>
        </w:rPr>
        <w:t>a fost stabilit în vederea stimulării inovării prin angrenarea în cadrul activităților de formarea unor fermieri și/sau întreprinzători locali ce vor acționa ca factori de diseminare pentru participanți prin exemplele de bună practică în domeniul utilizării de metode/echipamente/utilaje noi, moderne și inovatoare.</w:t>
      </w:r>
    </w:p>
    <w:p>
      <w:pPr>
        <w:pStyle w:val="Default"/>
        <w:spacing w:lineRule="auto" w:line="276"/>
        <w:jc w:val="both"/>
        <w:rPr>
          <w:b/>
          <w:b/>
          <w:bCs/>
          <w:sz w:val="22"/>
          <w:szCs w:val="22"/>
        </w:rPr>
      </w:pPr>
      <w:r>
        <w:rPr>
          <w:b/>
          <w:bCs/>
          <w:sz w:val="22"/>
          <w:szCs w:val="22"/>
        </w:rPr>
        <w:t xml:space="preserve">CS4 </w:t>
      </w:r>
      <w:r>
        <w:rPr>
          <w:sz w:val="22"/>
          <w:szCs w:val="22"/>
        </w:rPr>
        <w:t>prezintă relevanță pentru teritoriu, întrucât din analiza diagnostic realizată a rezultat un nivel redus de adaptare a activităților agricole la schimbările climatice și la necesitățile de protecție a mediului (lipsa suprafețelor agricole certificate ecologic și a exploatațiilor agricole care au utilizat echipamente pentru producerea de energie regenerabilă). Prioritizarea transferului de cunoștințe în domeniul protecției mediului va favoriza deschiderea fermierilor la adoptarea de practici noi care să contribuie la dezvoltarea durabilă a teritoriului prin protejarea mai bună a mediului și adaptarea la schimbările climatice.</w:t>
        <w:tab/>
      </w:r>
    </w:p>
    <w:p>
      <w:pPr>
        <w:pStyle w:val="Default"/>
        <w:spacing w:lineRule="auto" w:line="276"/>
        <w:jc w:val="both"/>
        <w:rPr>
          <w:color w:val="5F497A" w:themeColor="accent4" w:themeShade="bf"/>
          <w:sz w:val="22"/>
          <w:szCs w:val="22"/>
        </w:rPr>
      </w:pPr>
      <w:r>
        <w:rPr>
          <w:color w:val="5F497A" w:themeColor="accent4" w:themeShade="bf"/>
          <w:sz w:val="22"/>
          <w:szCs w:val="22"/>
          <w:lang w:val="en-US"/>
        </w:rPr>
        <w:t>Criteriile de selec</w:t>
      </w:r>
      <w:r>
        <w:rPr>
          <w:color w:val="5F497A" w:themeColor="accent4" w:themeShade="bf"/>
          <w:sz w:val="22"/>
          <w:szCs w:val="22"/>
        </w:rPr>
        <w:t>ție propuse vizează asigurarea tratamentului egal al solicitanților, o bună utilizare a resurselor financiare și direcționarea măsurilor în conformitate cu prioritățile SDL în materie de dezvoltare locală. Prin stabilirea unor criterii de eligibilitate și selecție specifice teritoriului se demonstrează necesitatea, oportunitatea și caracterul teritorial al intervenției.</w:t>
      </w:r>
    </w:p>
    <w:p>
      <w:pPr>
        <w:pStyle w:val="Default"/>
        <w:spacing w:lineRule="auto" w:line="276"/>
        <w:jc w:val="both"/>
        <w:rPr>
          <w:sz w:val="22"/>
          <w:szCs w:val="22"/>
          <w:u w:val="single"/>
        </w:rPr>
      </w:pPr>
      <w:r>
        <w:rPr>
          <w:b/>
          <w:bCs/>
          <w:sz w:val="22"/>
          <w:szCs w:val="22"/>
          <w:u w:val="single"/>
        </w:rPr>
        <w:t xml:space="preserve">Relevanța măsurii </w:t>
      </w:r>
      <w:r>
        <w:rPr>
          <w:sz w:val="22"/>
          <w:szCs w:val="22"/>
          <w:u w:val="single"/>
        </w:rPr>
        <w:t>în cadrul SDL</w:t>
      </w:r>
    </w:p>
    <w:p>
      <w:pPr>
        <w:pStyle w:val="Default"/>
        <w:spacing w:lineRule="auto" w:line="276"/>
        <w:jc w:val="both"/>
        <w:rPr>
          <w:sz w:val="22"/>
          <w:szCs w:val="22"/>
        </w:rPr>
      </w:pPr>
      <w:r>
        <w:rPr>
          <w:sz w:val="22"/>
          <w:szCs w:val="22"/>
        </w:rPr>
        <w:t xml:space="preserve">Operațiunile propuse în cadrul măsurii răspund în mod integrat tututor necesităților de formare profesională și informare identificate la nivelul teritoriului </w:t>
      </w:r>
      <w:r>
        <w:rPr>
          <w:b/>
          <w:bCs/>
          <w:i/>
          <w:iCs/>
          <w:color w:val="7030A0"/>
          <w:sz w:val="22"/>
          <w:szCs w:val="22"/>
          <w:lang w:eastAsia="ro-RO"/>
        </w:rPr>
        <w:t>Grupului de Acțiune Locală Sudul Gorjului</w:t>
      </w:r>
      <w:r>
        <w:rPr>
          <w:rFonts w:cs="Arial"/>
          <w:b/>
          <w:bCs/>
          <w:i/>
          <w:iCs/>
          <w:sz w:val="22"/>
          <w:szCs w:val="22"/>
        </w:rPr>
        <w:t xml:space="preserve">. </w:t>
      </w:r>
      <w:r>
        <w:rPr>
          <w:rFonts w:cs="Arial"/>
          <w:sz w:val="22"/>
          <w:szCs w:val="22"/>
        </w:rPr>
        <w:t>Astfel, măsura integrează soluții eficiente la toate problemele semnalate la nivelul parteneriatului în ceea ce privește formarea și transferul de cunoștințe în domeniul agriculturii.</w:t>
      </w:r>
    </w:p>
    <w:p>
      <w:pPr>
        <w:pStyle w:val="Default"/>
        <w:spacing w:lineRule="auto" w:line="276"/>
        <w:jc w:val="both"/>
        <w:rPr>
          <w:rFonts w:cs="Arial"/>
          <w:sz w:val="22"/>
          <w:szCs w:val="22"/>
        </w:rPr>
      </w:pPr>
      <w:r>
        <w:rPr>
          <w:rFonts w:cs="Arial"/>
          <w:sz w:val="22"/>
          <w:szCs w:val="22"/>
        </w:rPr>
        <w:t>Prin complementaritatea intervențiilor propuse în cadrul prezentei măsuri cu operațiunile aferente altor măsuri din SDL se obține caracterul integrat al acesteia în definirea răspunsurilor concertate la problemele identificate în domeniul agriculturii.</w:t>
      </w:r>
    </w:p>
    <w:p>
      <w:pPr>
        <w:pStyle w:val="Default"/>
        <w:shd w:val="clear" w:color="auto" w:fill="E5DFEC" w:themeFill="accent4" w:themeFillTint="33"/>
        <w:spacing w:lineRule="auto" w:line="276"/>
        <w:rPr>
          <w:sz w:val="22"/>
          <w:szCs w:val="22"/>
        </w:rPr>
      </w:pPr>
      <w:r>
        <w:rPr>
          <w:b/>
          <w:bCs/>
          <w:sz w:val="22"/>
          <w:szCs w:val="22"/>
        </w:rPr>
        <w:t xml:space="preserve">3. Trimiteri la alte acte legislative </w:t>
      </w:r>
    </w:p>
    <w:p>
      <w:pPr>
        <w:pStyle w:val="Default"/>
        <w:numPr>
          <w:ilvl w:val="0"/>
          <w:numId w:val="1"/>
        </w:numPr>
        <w:spacing w:lineRule="auto" w:line="276"/>
        <w:jc w:val="both"/>
        <w:rPr>
          <w:sz w:val="22"/>
          <w:szCs w:val="22"/>
        </w:rPr>
      </w:pPr>
      <w:r>
        <w:rPr>
          <w:b/>
          <w:bCs/>
          <w:color w:val="00000A"/>
          <w:sz w:val="22"/>
          <w:szCs w:val="22"/>
        </w:rPr>
        <w:t>R (UE) Nr. 1336/2013</w:t>
      </w:r>
      <w:r>
        <w:rPr>
          <w:color w:val="00000A"/>
          <w:sz w:val="22"/>
          <w:szCs w:val="22"/>
        </w:rPr>
        <w:t xml:space="preserve"> de modificare a Directivelor 2004/17/CE, 2004/18/CE și 2009/81/CE ale Parlamentului European și ale Consiliului în ceea ce privește pragurile de aplicare pentru procedurile de atribuire a contractelor de achiziții; </w:t>
      </w:r>
    </w:p>
    <w:p>
      <w:pPr>
        <w:pStyle w:val="Default"/>
        <w:numPr>
          <w:ilvl w:val="0"/>
          <w:numId w:val="1"/>
        </w:numPr>
        <w:spacing w:lineRule="auto" w:line="276"/>
        <w:jc w:val="both"/>
        <w:rPr>
          <w:sz w:val="22"/>
          <w:szCs w:val="22"/>
        </w:rPr>
      </w:pPr>
      <w:r>
        <w:rPr>
          <w:b/>
          <w:bCs/>
          <w:sz w:val="22"/>
          <w:szCs w:val="22"/>
        </w:rPr>
        <w:t xml:space="preserve">Ordonanţă de Urgenţă a Guvernului </w:t>
      </w:r>
      <w:r>
        <w:rPr>
          <w:b/>
          <w:bCs/>
          <w:sz w:val="22"/>
          <w:szCs w:val="22"/>
          <w:lang w:val="en-US"/>
        </w:rPr>
        <w:t>n</w:t>
      </w:r>
      <w:r>
        <w:rPr>
          <w:b/>
          <w:bCs/>
          <w:sz w:val="22"/>
          <w:szCs w:val="22"/>
        </w:rPr>
        <w:t>r. 34/2006</w:t>
      </w:r>
      <w:r>
        <w:rPr>
          <w:sz w:val="22"/>
          <w:szCs w:val="22"/>
        </w:rPr>
        <w:t xml:space="preserve"> privind atribuirea contractelor de achiziţie publică, a contractelor de concesiune de lucrări publice şi a contractelor de concesiune de servicii cu modificările și completările ulterioare;</w:t>
      </w:r>
    </w:p>
    <w:p>
      <w:pPr>
        <w:pStyle w:val="Default"/>
        <w:numPr>
          <w:ilvl w:val="0"/>
          <w:numId w:val="1"/>
        </w:numPr>
        <w:spacing w:lineRule="auto" w:line="276"/>
        <w:jc w:val="both"/>
        <w:rPr>
          <w:sz w:val="22"/>
          <w:szCs w:val="22"/>
        </w:rPr>
      </w:pPr>
      <w:r>
        <w:rPr>
          <w:b/>
          <w:bCs/>
          <w:sz w:val="22"/>
          <w:szCs w:val="22"/>
        </w:rPr>
        <w:t xml:space="preserve">Hotărârea de Guvern </w:t>
      </w:r>
      <w:r>
        <w:rPr>
          <w:b/>
          <w:bCs/>
          <w:sz w:val="22"/>
          <w:szCs w:val="22"/>
          <w:lang w:val="en-US"/>
        </w:rPr>
        <w:t>n</w:t>
      </w:r>
      <w:r>
        <w:rPr>
          <w:b/>
          <w:bCs/>
          <w:sz w:val="22"/>
          <w:szCs w:val="22"/>
        </w:rPr>
        <w:t>r. 925/2006</w:t>
      </w:r>
      <w:r>
        <w:rPr>
          <w:sz w:val="22"/>
          <w:szCs w:val="22"/>
        </w:rPr>
        <w:t xml:space="preserve"> pentru aprobarea normelor de aplicare a prevederilor referitoare la atribuirea contractelor de achiziţie publică din Ordonanţa de urgenţă a Guvernului nr. 34/2006 privind atribuirea contractelor de achiziţie publică, a contractelor de concesiune de lucrări publice şi a contractelor de concesiune de servicii;</w:t>
      </w:r>
    </w:p>
    <w:p>
      <w:pPr>
        <w:pStyle w:val="Default"/>
        <w:numPr>
          <w:ilvl w:val="0"/>
          <w:numId w:val="1"/>
        </w:numPr>
        <w:spacing w:lineRule="auto" w:line="276"/>
        <w:jc w:val="both"/>
        <w:rPr>
          <w:sz w:val="22"/>
          <w:szCs w:val="22"/>
        </w:rPr>
      </w:pPr>
      <w:r>
        <w:rPr>
          <w:b/>
          <w:bCs/>
          <w:sz w:val="22"/>
          <w:szCs w:val="22"/>
        </w:rPr>
        <w:t xml:space="preserve">Legea </w:t>
      </w:r>
      <w:r>
        <w:rPr>
          <w:b/>
          <w:bCs/>
          <w:sz w:val="22"/>
          <w:szCs w:val="22"/>
          <w:lang w:val="en-US"/>
        </w:rPr>
        <w:t>n</w:t>
      </w:r>
      <w:r>
        <w:rPr>
          <w:b/>
          <w:bCs/>
          <w:sz w:val="22"/>
          <w:szCs w:val="22"/>
        </w:rPr>
        <w:t>r. 31/1990</w:t>
      </w:r>
      <w:r>
        <w:rPr>
          <w:sz w:val="22"/>
          <w:szCs w:val="22"/>
        </w:rPr>
        <w:t xml:space="preserve"> privind societăţile comerciale cu modificările și completările ulterioare;</w:t>
      </w:r>
    </w:p>
    <w:p>
      <w:pPr>
        <w:pStyle w:val="Default"/>
        <w:numPr>
          <w:ilvl w:val="0"/>
          <w:numId w:val="1"/>
        </w:numPr>
        <w:spacing w:lineRule="auto" w:line="276"/>
        <w:jc w:val="both"/>
        <w:rPr>
          <w:sz w:val="22"/>
          <w:szCs w:val="22"/>
        </w:rPr>
      </w:pPr>
      <w:r>
        <w:rPr>
          <w:b/>
          <w:bCs/>
          <w:sz w:val="22"/>
          <w:szCs w:val="22"/>
        </w:rPr>
        <w:t xml:space="preserve">Ordonanța de Guvern </w:t>
      </w:r>
      <w:r>
        <w:rPr>
          <w:b/>
          <w:bCs/>
          <w:sz w:val="22"/>
          <w:szCs w:val="22"/>
          <w:lang w:val="en-US"/>
        </w:rPr>
        <w:t>n</w:t>
      </w:r>
      <w:r>
        <w:rPr>
          <w:b/>
          <w:bCs/>
          <w:sz w:val="22"/>
          <w:szCs w:val="22"/>
        </w:rPr>
        <w:t>r. 26/2000</w:t>
      </w:r>
      <w:r>
        <w:rPr>
          <w:sz w:val="22"/>
          <w:szCs w:val="22"/>
        </w:rPr>
        <w:t xml:space="preserve"> cu privire la asociații și fundații modificările și completările ulterioare;</w:t>
      </w:r>
    </w:p>
    <w:p>
      <w:pPr>
        <w:pStyle w:val="Default"/>
        <w:numPr>
          <w:ilvl w:val="0"/>
          <w:numId w:val="1"/>
        </w:numPr>
        <w:spacing w:lineRule="auto" w:line="276"/>
        <w:jc w:val="both"/>
        <w:rPr>
          <w:sz w:val="22"/>
          <w:szCs w:val="22"/>
        </w:rPr>
      </w:pPr>
      <w:r>
        <w:rPr>
          <w:b/>
          <w:bCs/>
          <w:sz w:val="22"/>
          <w:szCs w:val="22"/>
        </w:rPr>
        <w:t xml:space="preserve">Legea </w:t>
      </w:r>
      <w:r>
        <w:rPr>
          <w:b/>
          <w:bCs/>
          <w:sz w:val="22"/>
          <w:szCs w:val="22"/>
          <w:lang w:val="en-US"/>
        </w:rPr>
        <w:t>n</w:t>
      </w:r>
      <w:r>
        <w:rPr>
          <w:b/>
          <w:bCs/>
          <w:sz w:val="22"/>
          <w:szCs w:val="22"/>
        </w:rPr>
        <w:t>r. 1/2011</w:t>
      </w:r>
      <w:r>
        <w:rPr>
          <w:sz w:val="22"/>
          <w:szCs w:val="22"/>
        </w:rPr>
        <w:t xml:space="preserve"> a educaţiei naţionale modificările și completările ulterioare;  </w:t>
      </w:r>
    </w:p>
    <w:p>
      <w:pPr>
        <w:pStyle w:val="Default"/>
        <w:numPr>
          <w:ilvl w:val="0"/>
          <w:numId w:val="1"/>
        </w:numPr>
        <w:spacing w:lineRule="auto" w:line="276"/>
        <w:jc w:val="both"/>
        <w:rPr>
          <w:sz w:val="22"/>
          <w:szCs w:val="22"/>
        </w:rPr>
      </w:pPr>
      <w:r>
        <w:rPr>
          <w:b/>
          <w:bCs/>
          <w:sz w:val="22"/>
          <w:szCs w:val="22"/>
        </w:rPr>
        <w:t xml:space="preserve">Ordonanţa de Guvern </w:t>
      </w:r>
      <w:r>
        <w:rPr>
          <w:b/>
          <w:bCs/>
          <w:sz w:val="22"/>
          <w:szCs w:val="22"/>
          <w:lang w:val="en-US"/>
        </w:rPr>
        <w:t>n</w:t>
      </w:r>
      <w:r>
        <w:rPr>
          <w:b/>
          <w:bCs/>
          <w:sz w:val="22"/>
          <w:szCs w:val="22"/>
        </w:rPr>
        <w:t>r. 8/2013</w:t>
      </w:r>
      <w:r>
        <w:rPr>
          <w:sz w:val="22"/>
          <w:szCs w:val="22"/>
        </w:rPr>
        <w:t xml:space="preserve"> pentru modificarea şi completarea Legii nr. 571/2003 privind Codul fiscal şi reglementarea unor măsuri financiar-fiscale.    </w:t>
      </w:r>
    </w:p>
    <w:p>
      <w:pPr>
        <w:pStyle w:val="Default"/>
        <w:shd w:val="clear" w:color="auto" w:fill="E5DFEC" w:themeFill="accent4" w:themeFillTint="33"/>
        <w:spacing w:lineRule="auto" w:line="276"/>
        <w:rPr>
          <w:b/>
          <w:b/>
          <w:bCs/>
          <w:sz w:val="22"/>
          <w:szCs w:val="22"/>
        </w:rPr>
      </w:pPr>
      <w:r>
        <w:rPr>
          <w:b/>
          <w:bCs/>
          <w:sz w:val="22"/>
          <w:szCs w:val="22"/>
        </w:rPr>
        <w:t>4. Beneficiari direcți/indirecți (grup țintă)</w:t>
      </w:r>
    </w:p>
    <w:p>
      <w:pPr>
        <w:pStyle w:val="Default"/>
        <w:spacing w:lineRule="auto" w:line="276"/>
        <w:jc w:val="both"/>
        <w:rPr>
          <w:sz w:val="22"/>
          <w:szCs w:val="22"/>
        </w:rPr>
      </w:pPr>
      <w:r>
        <w:rPr>
          <w:b/>
          <w:bCs/>
          <w:sz w:val="22"/>
          <w:szCs w:val="22"/>
          <w:lang w:val="en-US"/>
        </w:rPr>
        <w:t>Beneficiari direc</w:t>
      </w:r>
      <w:r>
        <w:rPr>
          <w:b/>
          <w:bCs/>
          <w:sz w:val="22"/>
          <w:szCs w:val="22"/>
        </w:rPr>
        <w:t>ți:</w:t>
      </w:r>
    </w:p>
    <w:p>
      <w:pPr>
        <w:pStyle w:val="Default"/>
        <w:tabs>
          <w:tab w:val="left" w:pos="338" w:leader="none"/>
          <w:tab w:val="left" w:pos="1138" w:leader="none"/>
        </w:tabs>
        <w:spacing w:lineRule="auto" w:line="276"/>
        <w:jc w:val="both"/>
        <w:rPr>
          <w:sz w:val="22"/>
          <w:szCs w:val="22"/>
        </w:rPr>
      </w:pPr>
      <w:r>
        <w:rPr>
          <w:sz w:val="22"/>
          <w:szCs w:val="22"/>
        </w:rPr>
        <w:t xml:space="preserve">? </w:t>
      </w:r>
      <w:r>
        <w:rPr>
          <w:b/>
          <w:bCs/>
          <w:sz w:val="22"/>
          <w:szCs w:val="22"/>
        </w:rPr>
        <w:t>Entități publice</w:t>
      </w:r>
      <w:r>
        <w:rPr>
          <w:sz w:val="22"/>
          <w:szCs w:val="22"/>
        </w:rPr>
        <w:t xml:space="preserve"> sau </w:t>
      </w:r>
      <w:r>
        <w:rPr>
          <w:b/>
          <w:bCs/>
          <w:sz w:val="22"/>
          <w:szCs w:val="22"/>
        </w:rPr>
        <w:t xml:space="preserve">private </w:t>
      </w:r>
      <w:r>
        <w:rPr>
          <w:b/>
          <w:bCs/>
          <w:sz w:val="22"/>
          <w:szCs w:val="22"/>
          <w:lang w:val="en-US"/>
        </w:rPr>
        <w:t>(inclusiv ONG-uri)</w:t>
      </w:r>
      <w:r>
        <w:rPr>
          <w:sz w:val="22"/>
          <w:szCs w:val="22"/>
        </w:rPr>
        <w:t xml:space="preserve"> care activează în domeniul formării profesionale a adulților. </w:t>
      </w:r>
    </w:p>
    <w:p>
      <w:pPr>
        <w:pStyle w:val="Default"/>
        <w:spacing w:lineRule="auto" w:line="276"/>
        <w:jc w:val="both"/>
        <w:rPr>
          <w:sz w:val="22"/>
          <w:szCs w:val="22"/>
        </w:rPr>
      </w:pPr>
      <w:r>
        <w:rPr>
          <w:b/>
          <w:bCs/>
          <w:sz w:val="22"/>
          <w:szCs w:val="22"/>
        </w:rPr>
        <w:t xml:space="preserve">Beneficiari indirecți: </w:t>
      </w:r>
    </w:p>
    <w:p>
      <w:pPr>
        <w:pStyle w:val="Default"/>
        <w:spacing w:lineRule="auto" w:line="276"/>
        <w:jc w:val="both"/>
        <w:rPr>
          <w:sz w:val="22"/>
          <w:szCs w:val="22"/>
        </w:rPr>
      </w:pPr>
      <w:r>
        <w:rPr>
          <w:sz w:val="22"/>
          <w:szCs w:val="22"/>
        </w:rPr>
        <w:t xml:space="preserve"> </w:t>
      </w:r>
      <w:r>
        <w:rPr>
          <w:sz w:val="22"/>
          <w:szCs w:val="22"/>
        </w:rPr>
        <w:t xml:space="preserve">Persoane din teritoriul </w:t>
      </w:r>
      <w:r>
        <w:rPr>
          <w:b/>
          <w:bCs/>
          <w:i/>
          <w:iCs/>
          <w:color w:val="7030A0"/>
          <w:sz w:val="22"/>
          <w:szCs w:val="22"/>
          <w:lang w:eastAsia="ro-RO"/>
        </w:rPr>
        <w:t>Grupului de Acțiune Locală Sudul Gorjului</w:t>
      </w:r>
      <w:r>
        <w:rPr>
          <w:sz w:val="22"/>
          <w:szCs w:val="22"/>
        </w:rPr>
        <w:t xml:space="preserve"> care desfășoară activități în domeniul agricol.</w:t>
      </w:r>
    </w:p>
    <w:p>
      <w:pPr>
        <w:pStyle w:val="Default"/>
        <w:spacing w:lineRule="auto" w:line="276"/>
        <w:jc w:val="both"/>
        <w:rPr>
          <w:sz w:val="22"/>
          <w:szCs w:val="22"/>
        </w:rPr>
      </w:pPr>
      <w:r>
        <w:rPr>
          <w:sz w:val="22"/>
          <w:szCs w:val="22"/>
        </w:rPr>
        <w:t xml:space="preserve"> </w:t>
      </w:r>
      <w:r>
        <w:rPr>
          <w:sz w:val="22"/>
          <w:szCs w:val="22"/>
        </w:rPr>
        <w:t>Beneficiarii măsurilor M2.1. și M2.2.</w:t>
      </w:r>
    </w:p>
    <w:p>
      <w:pPr>
        <w:pStyle w:val="Default"/>
        <w:shd w:val="clear" w:color="auto" w:fill="E5DFEC" w:themeFill="accent4" w:themeFillTint="33"/>
        <w:spacing w:lineRule="auto" w:line="276"/>
        <w:rPr>
          <w:sz w:val="22"/>
          <w:szCs w:val="22"/>
        </w:rPr>
      </w:pPr>
      <w:r>
        <w:rPr>
          <w:b/>
          <w:bCs/>
          <w:sz w:val="22"/>
          <w:szCs w:val="22"/>
        </w:rPr>
        <w:t xml:space="preserve">5. Tip de sprijin </w:t>
      </w:r>
    </w:p>
    <w:p>
      <w:pPr>
        <w:pStyle w:val="Default"/>
        <w:spacing w:lineRule="auto" w:line="276"/>
        <w:jc w:val="both"/>
        <w:rPr>
          <w:sz w:val="22"/>
          <w:szCs w:val="22"/>
        </w:rPr>
      </w:pPr>
      <w:r>
        <w:rPr>
          <w:b/>
          <w:bCs/>
          <w:sz w:val="22"/>
          <w:szCs w:val="22"/>
        </w:rPr>
        <w:t xml:space="preserve"> </w:t>
      </w:r>
      <w:r>
        <w:rPr>
          <w:b/>
          <w:bCs/>
          <w:sz w:val="22"/>
          <w:szCs w:val="22"/>
        </w:rPr>
        <w:t>Rambursarea</w:t>
      </w:r>
      <w:r>
        <w:rPr>
          <w:bCs/>
          <w:sz w:val="22"/>
          <w:szCs w:val="22"/>
        </w:rPr>
        <w:t xml:space="preserve"> costurilor eligibile suportate și plătite efectiv </w:t>
      </w:r>
      <w:r>
        <w:rPr>
          <w:bCs/>
          <w:sz w:val="22"/>
          <w:szCs w:val="22"/>
          <w:lang w:val="en-US"/>
        </w:rPr>
        <w:t>de solicitant</w:t>
      </w:r>
      <w:r>
        <w:rPr>
          <w:bCs/>
          <w:sz w:val="22"/>
          <w:szCs w:val="22"/>
        </w:rPr>
        <w:t>.</w:t>
      </w:r>
    </w:p>
    <w:p>
      <w:pPr>
        <w:pStyle w:val="Default"/>
        <w:shd w:val="clear" w:color="auto" w:fill="E5DFEC" w:themeFill="accent4" w:themeFillTint="33"/>
        <w:spacing w:lineRule="auto" w:line="276"/>
        <w:rPr>
          <w:b/>
          <w:b/>
          <w:bCs/>
          <w:sz w:val="22"/>
          <w:szCs w:val="22"/>
        </w:rPr>
      </w:pPr>
      <w:r>
        <w:rPr>
          <w:b/>
          <w:bCs/>
          <w:sz w:val="22"/>
          <w:szCs w:val="22"/>
          <w:shd w:fill="E5DFEC" w:val="clear"/>
        </w:rPr>
        <w:t>6. Tipuri de acțiuni eligibile și neeligibile</w:t>
      </w:r>
    </w:p>
    <w:p>
      <w:pPr>
        <w:pStyle w:val="Default"/>
        <w:spacing w:lineRule="auto" w:line="276"/>
        <w:jc w:val="both"/>
        <w:rPr>
          <w:sz w:val="22"/>
          <w:szCs w:val="22"/>
        </w:rPr>
      </w:pPr>
      <w:r>
        <w:rPr>
          <w:b/>
          <w:bCs/>
          <w:sz w:val="22"/>
          <w:szCs w:val="22"/>
        </w:rPr>
        <w:t>Acțiuni eligibile:</w:t>
      </w:r>
    </w:p>
    <w:p>
      <w:pPr>
        <w:pStyle w:val="Default"/>
        <w:spacing w:lineRule="auto" w:line="276"/>
        <w:jc w:val="both"/>
        <w:rPr>
          <w:sz w:val="22"/>
          <w:szCs w:val="22"/>
        </w:rPr>
      </w:pPr>
      <w:r>
        <w:rPr>
          <w:color w:val="00000A"/>
          <w:sz w:val="22"/>
          <w:szCs w:val="22"/>
        </w:rPr>
        <w:t xml:space="preserve">Organizare </w:t>
      </w:r>
      <w:r>
        <w:rPr>
          <w:b/>
          <w:bCs/>
          <w:color w:val="00000A"/>
          <w:sz w:val="22"/>
          <w:szCs w:val="22"/>
        </w:rPr>
        <w:t>cursuri de formare profesională de scurtă durată</w:t>
      </w:r>
      <w:r>
        <w:rPr>
          <w:color w:val="00000A"/>
          <w:sz w:val="22"/>
          <w:szCs w:val="22"/>
        </w:rPr>
        <w:t xml:space="preserve"> și </w:t>
      </w:r>
      <w:r>
        <w:rPr>
          <w:b/>
          <w:bCs/>
          <w:color w:val="00000A"/>
          <w:sz w:val="22"/>
          <w:szCs w:val="22"/>
        </w:rPr>
        <w:t>acțiuni de dobândire de competențe</w:t>
      </w:r>
      <w:r>
        <w:rPr>
          <w:color w:val="00000A"/>
          <w:sz w:val="22"/>
          <w:szCs w:val="22"/>
        </w:rPr>
        <w:t xml:space="preserve"> în domeniul agricol:</w:t>
      </w:r>
    </w:p>
    <w:p>
      <w:pPr>
        <w:pStyle w:val="Default"/>
        <w:numPr>
          <w:ilvl w:val="0"/>
          <w:numId w:val="1"/>
        </w:numPr>
        <w:spacing w:lineRule="auto" w:line="276"/>
        <w:jc w:val="both"/>
        <w:rPr>
          <w:sz w:val="22"/>
          <w:szCs w:val="22"/>
        </w:rPr>
      </w:pPr>
      <w:r>
        <w:rPr>
          <w:color w:val="00000A"/>
          <w:sz w:val="22"/>
          <w:szCs w:val="22"/>
        </w:rPr>
        <w:t>Diversificarea activităților în exploatațiile agricole, îmbunătățirea calității producției, igiena și siguranța alimentelor, crearea de condiții pentru a asigura bunăstarea animalelor și sănătatea plantelor, siguranța muncii, folosirea fertilizanților și amendamentelor in agricultură în concordanță cu standardele Uniunii Europene;</w:t>
      </w:r>
    </w:p>
    <w:p>
      <w:pPr>
        <w:pStyle w:val="Default"/>
        <w:numPr>
          <w:ilvl w:val="0"/>
          <w:numId w:val="1"/>
        </w:numPr>
        <w:spacing w:lineRule="auto" w:line="276"/>
        <w:jc w:val="both"/>
        <w:rPr>
          <w:sz w:val="22"/>
          <w:szCs w:val="22"/>
        </w:rPr>
      </w:pPr>
      <w:r>
        <w:rPr>
          <w:color w:val="00000A"/>
          <w:sz w:val="22"/>
          <w:szCs w:val="22"/>
        </w:rPr>
        <w:t>Îmbunătățirea și încurajarea afacerilor în domeniul agricol;</w:t>
      </w:r>
    </w:p>
    <w:p>
      <w:pPr>
        <w:pStyle w:val="Default"/>
        <w:numPr>
          <w:ilvl w:val="0"/>
          <w:numId w:val="1"/>
        </w:numPr>
        <w:spacing w:lineRule="auto" w:line="276"/>
        <w:jc w:val="both"/>
        <w:rPr>
          <w:sz w:val="22"/>
          <w:szCs w:val="22"/>
        </w:rPr>
      </w:pPr>
      <w:r>
        <w:rPr>
          <w:color w:val="00000A"/>
          <w:sz w:val="22"/>
          <w:szCs w:val="22"/>
        </w:rPr>
        <w:t>Îmbunătățirea cunoștințelor privind protecția mediului;</w:t>
      </w:r>
    </w:p>
    <w:p>
      <w:pPr>
        <w:pStyle w:val="Default"/>
        <w:numPr>
          <w:ilvl w:val="0"/>
          <w:numId w:val="1"/>
        </w:numPr>
        <w:spacing w:lineRule="auto" w:line="276"/>
        <w:jc w:val="both"/>
        <w:rPr>
          <w:sz w:val="22"/>
          <w:szCs w:val="22"/>
        </w:rPr>
      </w:pPr>
      <w:r>
        <w:rPr>
          <w:color w:val="00000A"/>
          <w:sz w:val="22"/>
          <w:szCs w:val="22"/>
        </w:rPr>
        <w:t>Pregătire tehnică (noi tehnologii informaționale, introducerea de inovații, difuzarea rezultatelor cercetării și a gestionării durabile a resurselor naturale etc.);</w:t>
      </w:r>
    </w:p>
    <w:p>
      <w:pPr>
        <w:pStyle w:val="Default"/>
        <w:numPr>
          <w:ilvl w:val="0"/>
          <w:numId w:val="1"/>
        </w:numPr>
        <w:spacing w:lineRule="auto" w:line="276"/>
        <w:jc w:val="both"/>
        <w:rPr>
          <w:sz w:val="22"/>
          <w:szCs w:val="22"/>
        </w:rPr>
      </w:pPr>
      <w:r>
        <w:rPr>
          <w:color w:val="00000A"/>
          <w:sz w:val="22"/>
          <w:szCs w:val="22"/>
        </w:rPr>
        <w:t>Managementul durabil al terenurilor agricole;</w:t>
      </w:r>
    </w:p>
    <w:p>
      <w:pPr>
        <w:pStyle w:val="Default"/>
        <w:numPr>
          <w:ilvl w:val="0"/>
          <w:numId w:val="1"/>
        </w:numPr>
        <w:spacing w:lineRule="auto" w:line="276"/>
        <w:jc w:val="both"/>
        <w:rPr>
          <w:sz w:val="22"/>
          <w:szCs w:val="22"/>
        </w:rPr>
      </w:pPr>
      <w:r>
        <w:rPr>
          <w:color w:val="00000A"/>
          <w:sz w:val="22"/>
          <w:szCs w:val="22"/>
        </w:rPr>
        <w:t>Dezvoltarea unor capacități inovative în lanțul agro-alimentar;</w:t>
      </w:r>
    </w:p>
    <w:p>
      <w:pPr>
        <w:pStyle w:val="Default"/>
        <w:numPr>
          <w:ilvl w:val="0"/>
          <w:numId w:val="1"/>
        </w:numPr>
        <w:spacing w:lineRule="auto" w:line="276"/>
        <w:jc w:val="both"/>
        <w:rPr>
          <w:sz w:val="22"/>
          <w:szCs w:val="22"/>
        </w:rPr>
      </w:pPr>
      <w:r>
        <w:rPr>
          <w:color w:val="00000A"/>
          <w:sz w:val="22"/>
          <w:szCs w:val="22"/>
        </w:rPr>
        <w:t>Însușirea cerințelor privind eco-condiționalitatea și aplicarea unor metode de producție compatibile cu întreținerea și ameliorarea peisajului, respectiv cu protecția mediului</w:t>
      </w:r>
      <w:r>
        <w:rPr>
          <w:color w:val="00000A"/>
          <w:sz w:val="22"/>
          <w:szCs w:val="22"/>
          <w:lang w:val="en-US"/>
        </w:rPr>
        <w:t>;</w:t>
      </w:r>
    </w:p>
    <w:p>
      <w:pPr>
        <w:pStyle w:val="Default"/>
        <w:numPr>
          <w:ilvl w:val="0"/>
          <w:numId w:val="1"/>
        </w:numPr>
        <w:spacing w:lineRule="auto" w:line="276" w:before="0" w:after="200"/>
        <w:ind w:left="340" w:hanging="0"/>
        <w:contextualSpacing/>
        <w:jc w:val="both"/>
        <w:rPr>
          <w:sz w:val="22"/>
          <w:szCs w:val="22"/>
        </w:rPr>
      </w:pPr>
      <w:r>
        <w:rPr>
          <w:bCs/>
          <w:color w:val="00000A"/>
          <w:sz w:val="22"/>
          <w:szCs w:val="22"/>
        </w:rPr>
        <w:t xml:space="preserve">Managementul general al fermei (contabilitate, marketing, cunoștințe TIC, etc.). </w:t>
      </w:r>
    </w:p>
    <w:p>
      <w:pPr>
        <w:pStyle w:val="Normal"/>
        <w:spacing w:before="0" w:after="0"/>
        <w:jc w:val="both"/>
        <w:rPr>
          <w:rFonts w:ascii="Trebuchet MS" w:hAnsi="Trebuchet MS"/>
          <w:sz w:val="22"/>
          <w:szCs w:val="22"/>
        </w:rPr>
      </w:pPr>
      <w:r>
        <w:rPr>
          <w:rFonts w:ascii="Trebuchet MS" w:hAnsi="Trebuchet MS"/>
          <w:b/>
          <w:bCs/>
          <w:sz w:val="22"/>
          <w:szCs w:val="22"/>
        </w:rPr>
        <w:t>Acțiuni neeligibile:</w:t>
      </w:r>
    </w:p>
    <w:p>
      <w:pPr>
        <w:pStyle w:val="ListParagraph"/>
        <w:widowControl w:val="false"/>
        <w:numPr>
          <w:ilvl w:val="0"/>
          <w:numId w:val="2"/>
        </w:numPr>
        <w:spacing w:before="0" w:after="0"/>
        <w:rPr>
          <w:rFonts w:ascii="Trebuchet MS" w:hAnsi="Trebuchet MS" w:cs="Trebuchet MS"/>
          <w:bCs/>
          <w:sz w:val="22"/>
          <w:szCs w:val="22"/>
        </w:rPr>
      </w:pPr>
      <w:r>
        <w:rPr>
          <w:rFonts w:cs="Trebuchet MS" w:ascii="Trebuchet MS" w:hAnsi="Trebuchet MS"/>
          <w:bCs/>
          <w:sz w:val="22"/>
          <w:szCs w:val="22"/>
        </w:rPr>
        <w:t>costurile legate de cursuri de formare profesională care fac parte din programul de educație sau sisteme de învățământ secundar și superior;</w:t>
      </w:r>
    </w:p>
    <w:p>
      <w:pPr>
        <w:pStyle w:val="ListParagraph"/>
        <w:widowControl w:val="false"/>
        <w:numPr>
          <w:ilvl w:val="0"/>
          <w:numId w:val="2"/>
        </w:numPr>
        <w:spacing w:before="0" w:after="0"/>
        <w:rPr>
          <w:rFonts w:ascii="Trebuchet MS" w:hAnsi="Trebuchet MS" w:cs="Trebuchet MS"/>
          <w:bCs/>
          <w:sz w:val="22"/>
          <w:szCs w:val="22"/>
        </w:rPr>
      </w:pPr>
      <w:r>
        <w:rPr>
          <w:rFonts w:cs="Trebuchet MS" w:ascii="Trebuchet MS" w:hAnsi="Trebuchet MS"/>
          <w:bCs/>
          <w:sz w:val="22"/>
          <w:szCs w:val="22"/>
        </w:rPr>
        <w:t>costurile legate de cursuri de formare profesională finanțate prin alte programe;</w:t>
      </w:r>
    </w:p>
    <w:p>
      <w:pPr>
        <w:pStyle w:val="ListParagraph"/>
        <w:widowControl w:val="false"/>
        <w:numPr>
          <w:ilvl w:val="0"/>
          <w:numId w:val="2"/>
        </w:numPr>
        <w:spacing w:before="0" w:after="0"/>
        <w:jc w:val="both"/>
        <w:rPr>
          <w:rFonts w:ascii="Trebuchet MS" w:hAnsi="Trebuchet MS" w:cs="Mangal;Courier"/>
          <w:sz w:val="22"/>
          <w:szCs w:val="22"/>
        </w:rPr>
      </w:pPr>
      <w:r>
        <w:rPr>
          <w:rFonts w:cs="Calibri" w:ascii="Trebuchet MS" w:hAnsi="Trebuchet MS"/>
          <w:bCs/>
          <w:sz w:val="22"/>
          <w:szCs w:val="22"/>
        </w:rPr>
        <w:t>costurile cu investițiile.</w:t>
      </w:r>
    </w:p>
    <w:p>
      <w:pPr>
        <w:pStyle w:val="Default"/>
        <w:shd w:val="clear" w:color="auto" w:fill="E5DFEC" w:themeFill="accent4" w:themeFillTint="33"/>
        <w:spacing w:lineRule="auto" w:line="276"/>
        <w:rPr>
          <w:sz w:val="22"/>
          <w:szCs w:val="22"/>
        </w:rPr>
      </w:pPr>
      <w:r>
        <w:rPr>
          <w:b/>
          <w:bCs/>
          <w:sz w:val="22"/>
          <w:szCs w:val="22"/>
        </w:rPr>
        <w:t xml:space="preserve">7. Condiții de eligibilitate </w:t>
      </w:r>
    </w:p>
    <w:p>
      <w:pPr>
        <w:pStyle w:val="Default"/>
        <w:spacing w:lineRule="auto" w:line="276"/>
        <w:jc w:val="both"/>
        <w:rPr>
          <w:sz w:val="22"/>
          <w:szCs w:val="22"/>
        </w:rPr>
      </w:pPr>
      <w:r>
        <w:rPr>
          <w:sz w:val="22"/>
          <w:szCs w:val="22"/>
        </w:rPr>
        <w:t xml:space="preserve">Beneficiarii care depun proiecte pe această  măsură vor  trebui sa fie  înființați legal și să fie autorizați să presteze activitățile propuse în proiect și prevăzute în fișa măsurii.  </w:t>
      </w:r>
    </w:p>
    <w:p>
      <w:pPr>
        <w:pStyle w:val="Default"/>
        <w:spacing w:lineRule="auto" w:line="276"/>
        <w:jc w:val="both"/>
        <w:rPr>
          <w:sz w:val="22"/>
          <w:szCs w:val="22"/>
        </w:rPr>
      </w:pPr>
      <w:r>
        <w:rPr>
          <w:sz w:val="22"/>
          <w:szCs w:val="22"/>
        </w:rPr>
        <w:t xml:space="preserve"> </w:t>
      </w:r>
      <w:r>
        <w:rPr>
          <w:sz w:val="22"/>
          <w:szCs w:val="22"/>
        </w:rPr>
        <w:t xml:space="preserve">Solicitantul se încadrează în categoria de beneficiari eligibili; </w:t>
      </w:r>
    </w:p>
    <w:p>
      <w:pPr>
        <w:pStyle w:val="Default"/>
        <w:spacing w:lineRule="auto" w:line="276"/>
        <w:jc w:val="both"/>
        <w:rPr>
          <w:sz w:val="22"/>
          <w:szCs w:val="22"/>
        </w:rPr>
      </w:pPr>
      <w:r>
        <w:rPr>
          <w:sz w:val="22"/>
          <w:szCs w:val="22"/>
        </w:rPr>
        <w:t xml:space="preserve"> </w:t>
      </w:r>
      <w:r>
        <w:rPr>
          <w:sz w:val="22"/>
          <w:szCs w:val="22"/>
        </w:rPr>
        <w:t>Solicitantul  este  persoană  juridică,  constituită  în  conformitate  cu legislaţia în  vigoare  în România;</w:t>
      </w:r>
    </w:p>
    <w:p>
      <w:pPr>
        <w:pStyle w:val="Default"/>
        <w:spacing w:lineRule="auto" w:line="276"/>
        <w:jc w:val="both"/>
        <w:rPr>
          <w:sz w:val="22"/>
          <w:szCs w:val="22"/>
        </w:rPr>
      </w:pPr>
      <w:r>
        <w:rPr>
          <w:sz w:val="22"/>
          <w:szCs w:val="22"/>
        </w:rPr>
        <w:t xml:space="preserve"> </w:t>
      </w:r>
      <w:r>
        <w:rPr>
          <w:sz w:val="22"/>
          <w:szCs w:val="22"/>
        </w:rPr>
        <w:t>Solicitantul are prevăzut în obiectul de activitate activități specifice domeniului;</w:t>
      </w:r>
    </w:p>
    <w:p>
      <w:pPr>
        <w:pStyle w:val="Default"/>
        <w:spacing w:lineRule="auto" w:line="276"/>
        <w:jc w:val="both"/>
        <w:rPr>
          <w:sz w:val="22"/>
          <w:szCs w:val="22"/>
        </w:rPr>
      </w:pPr>
      <w:bookmarkStart w:id="1" w:name="__DdeLink__65990_994848051"/>
      <w:r>
        <w:rPr>
          <w:sz w:val="22"/>
          <w:szCs w:val="22"/>
        </w:rPr>
        <w:t></w:t>
      </w:r>
      <w:bookmarkEnd w:id="1"/>
      <w:r>
        <w:rPr>
          <w:sz w:val="22"/>
          <w:szCs w:val="22"/>
        </w:rPr>
        <w:t xml:space="preserve"> </w:t>
      </w:r>
      <w:r>
        <w:rPr>
          <w:sz w:val="22"/>
          <w:szCs w:val="22"/>
        </w:rPr>
        <w:t>Solicitantul nu este în stare de faliment ori lichidare;</w:t>
      </w:r>
    </w:p>
    <w:p>
      <w:pPr>
        <w:pStyle w:val="Default"/>
        <w:spacing w:lineRule="auto" w:line="276"/>
        <w:jc w:val="both"/>
        <w:rPr>
          <w:sz w:val="22"/>
          <w:szCs w:val="22"/>
        </w:rPr>
      </w:pPr>
      <w:r>
        <w:rPr>
          <w:sz w:val="22"/>
          <w:szCs w:val="22"/>
        </w:rPr>
        <w:t xml:space="preserve"> </w:t>
      </w:r>
      <w:r>
        <w:rPr>
          <w:sz w:val="22"/>
          <w:szCs w:val="22"/>
        </w:rPr>
        <w:t>Solicitantul şi-a îndeplinit  obligaţiile  de  plată  a  impozitelor,  taxelor și contribuţiilor  de asigurări sociale către bugetul de stat;</w:t>
      </w:r>
    </w:p>
    <w:p>
      <w:pPr>
        <w:pStyle w:val="Default"/>
        <w:spacing w:lineRule="auto" w:line="276"/>
        <w:jc w:val="both"/>
        <w:rPr>
          <w:sz w:val="22"/>
          <w:szCs w:val="22"/>
        </w:rPr>
      </w:pPr>
      <w:r>
        <w:rPr>
          <w:sz w:val="22"/>
          <w:szCs w:val="22"/>
        </w:rPr>
        <w:t xml:space="preserve"> </w:t>
      </w:r>
      <w:r>
        <w:rPr>
          <w:sz w:val="22"/>
          <w:szCs w:val="22"/>
        </w:rPr>
        <w:t xml:space="preserve">Investiția trebuie să contribuie la atingerea obiectivelor prevăzute în Strategia de Dezvoltare Locală GAL. </w:t>
      </w:r>
    </w:p>
    <w:p>
      <w:pPr>
        <w:pStyle w:val="Default"/>
        <w:shd w:val="clear" w:color="auto" w:fill="E5DFEC" w:themeFill="accent4" w:themeFillTint="33"/>
        <w:spacing w:lineRule="auto" w:line="276"/>
        <w:rPr>
          <w:sz w:val="22"/>
          <w:szCs w:val="22"/>
        </w:rPr>
      </w:pPr>
      <w:r>
        <w:rPr>
          <w:b/>
          <w:bCs/>
          <w:sz w:val="22"/>
          <w:szCs w:val="22"/>
        </w:rPr>
        <w:t>8. Criterii de selecție</w:t>
      </w:r>
    </w:p>
    <w:p>
      <w:pPr>
        <w:pStyle w:val="Default"/>
        <w:spacing w:lineRule="auto" w:line="276"/>
        <w:jc w:val="both"/>
        <w:rPr>
          <w:sz w:val="22"/>
          <w:szCs w:val="22"/>
        </w:rPr>
      </w:pPr>
      <w:r>
        <w:rPr>
          <w:b/>
          <w:bCs/>
          <w:sz w:val="22"/>
          <w:szCs w:val="22"/>
        </w:rPr>
        <w:t xml:space="preserve">1. Principiul caracterului inovator </w:t>
      </w:r>
      <w:r>
        <w:rPr>
          <w:sz w:val="22"/>
          <w:szCs w:val="22"/>
        </w:rPr>
        <w:t>al acțiunilor de formare prin introducerea de activități care să favorizeze transferul de practici noi, accesul la tehnologii inovatoare și importanța utilizării de echipamente și utilaje moderne.</w:t>
      </w:r>
    </w:p>
    <w:p>
      <w:pPr>
        <w:pStyle w:val="Default"/>
        <w:spacing w:lineRule="auto" w:line="276"/>
        <w:jc w:val="both"/>
        <w:rPr>
          <w:sz w:val="22"/>
          <w:szCs w:val="22"/>
        </w:rPr>
      </w:pPr>
      <w:r>
        <w:rPr>
          <w:b/>
          <w:bCs/>
          <w:sz w:val="22"/>
          <w:szCs w:val="22"/>
        </w:rPr>
        <w:t xml:space="preserve">2. Principiul experienței și/sau calificării personalului (propriu sau cooptat) </w:t>
      </w:r>
      <w:bookmarkStart w:id="2" w:name="__DdeLink__4098_626166561"/>
      <w:r>
        <w:rPr>
          <w:sz w:val="22"/>
          <w:szCs w:val="22"/>
        </w:rPr>
        <w:t>în domeniile corespunzătoare tematicilor prevăzute în cadrul activităților de formare</w:t>
      </w:r>
      <w:bookmarkEnd w:id="2"/>
      <w:r>
        <w:rPr>
          <w:sz w:val="22"/>
          <w:szCs w:val="22"/>
        </w:rPr>
        <w:t>.</w:t>
      </w:r>
    </w:p>
    <w:p>
      <w:pPr>
        <w:pStyle w:val="Default"/>
        <w:spacing w:lineRule="auto" w:line="276"/>
        <w:jc w:val="both"/>
        <w:rPr>
          <w:sz w:val="22"/>
          <w:szCs w:val="22"/>
        </w:rPr>
      </w:pPr>
      <w:r>
        <w:rPr>
          <w:b/>
          <w:bCs/>
          <w:sz w:val="22"/>
          <w:szCs w:val="22"/>
        </w:rPr>
        <w:t xml:space="preserve">3. Principiul utilizării metodelor de bună practică </w:t>
      </w:r>
      <w:r>
        <w:rPr>
          <w:sz w:val="22"/>
          <w:szCs w:val="22"/>
        </w:rPr>
        <w:t>prin utilizarea exemplelor locale și/sau implicarea fermierilor și/sau întreprinzătorilor locali în promovarea bunelor practici</w:t>
      </w:r>
      <w:r>
        <w:rPr>
          <w:b/>
          <w:bCs/>
          <w:sz w:val="22"/>
          <w:szCs w:val="22"/>
        </w:rPr>
        <w:t xml:space="preserve">. </w:t>
      </w:r>
    </w:p>
    <w:p>
      <w:pPr>
        <w:pStyle w:val="Default"/>
        <w:spacing w:lineRule="auto" w:line="276"/>
        <w:jc w:val="both"/>
        <w:rPr>
          <w:sz w:val="22"/>
          <w:szCs w:val="22"/>
        </w:rPr>
      </w:pPr>
      <w:r>
        <w:rPr>
          <w:b/>
          <w:bCs/>
          <w:sz w:val="22"/>
          <w:szCs w:val="22"/>
        </w:rPr>
        <w:t>4</w:t>
      </w:r>
      <w:r>
        <w:rPr>
          <w:b/>
          <w:bCs/>
          <w:sz w:val="22"/>
          <w:szCs w:val="22"/>
          <w:lang w:val="en-US"/>
        </w:rPr>
        <w:t xml:space="preserve">. Principiul </w:t>
      </w:r>
      <w:r>
        <w:rPr>
          <w:b/>
          <w:bCs/>
          <w:sz w:val="22"/>
          <w:szCs w:val="22"/>
        </w:rPr>
        <w:t>stimulării</w:t>
      </w:r>
      <w:r>
        <w:rPr>
          <w:b/>
          <w:bCs/>
          <w:sz w:val="22"/>
          <w:szCs w:val="22"/>
          <w:lang w:val="en-US"/>
        </w:rPr>
        <w:t xml:space="preserve"> dezvolt</w:t>
      </w:r>
      <w:r>
        <w:rPr>
          <w:b/>
          <w:bCs/>
          <w:sz w:val="22"/>
          <w:szCs w:val="22"/>
        </w:rPr>
        <w:t>ării</w:t>
      </w:r>
      <w:r>
        <w:rPr>
          <w:b/>
          <w:bCs/>
          <w:sz w:val="22"/>
          <w:szCs w:val="22"/>
          <w:lang w:val="en-US"/>
        </w:rPr>
        <w:t xml:space="preserve"> durabil</w:t>
      </w:r>
      <w:r>
        <w:rPr>
          <w:b/>
          <w:bCs/>
          <w:sz w:val="22"/>
          <w:szCs w:val="22"/>
        </w:rPr>
        <w:t xml:space="preserve">e </w:t>
      </w:r>
      <w:r>
        <w:rPr>
          <w:sz w:val="22"/>
          <w:szCs w:val="22"/>
        </w:rPr>
        <w:t>prin detalierea tematicii generale cu privire la practici ce contribuie la o mai bună protejare a mediului și adaptare la schimbările climatice.</w:t>
      </w:r>
    </w:p>
    <w:p>
      <w:pPr>
        <w:pStyle w:val="Default"/>
        <w:shd w:val="clear" w:color="auto" w:fill="E5DFEC" w:themeFill="accent4" w:themeFillTint="33"/>
        <w:spacing w:lineRule="auto" w:line="276"/>
        <w:rPr>
          <w:b/>
          <w:b/>
          <w:bCs/>
          <w:sz w:val="22"/>
          <w:szCs w:val="22"/>
        </w:rPr>
      </w:pPr>
      <w:r>
        <w:rPr>
          <w:b/>
          <w:bCs/>
          <w:sz w:val="22"/>
          <w:szCs w:val="22"/>
        </w:rPr>
        <w:t>9. Sume (aplicabile) și rata sprijinului</w:t>
      </w:r>
    </w:p>
    <w:p>
      <w:pPr>
        <w:pStyle w:val="Default"/>
        <w:spacing w:lineRule="auto" w:line="276"/>
        <w:jc w:val="both"/>
        <w:rPr/>
      </w:pPr>
      <w:r>
        <w:rPr>
          <w:sz w:val="22"/>
          <w:szCs w:val="22"/>
        </w:rPr>
        <w:t>Sprijinul public nerambursabil va respecta prevederile R 1407/2013 cu privire la sprijinul de minimis și nu va depăși 200.000 de euro/beneficiar pe 3 ani fiscali.</w:t>
      </w:r>
    </w:p>
    <w:p>
      <w:pPr>
        <w:pStyle w:val="Default"/>
        <w:spacing w:lineRule="auto" w:line="276"/>
        <w:jc w:val="both"/>
        <w:rPr/>
      </w:pPr>
      <w:r>
        <w:rPr>
          <w:color w:val="000000" w:themeColor="text1"/>
          <w:sz w:val="22"/>
          <w:szCs w:val="22"/>
        </w:rPr>
        <w:t>Ponderea maximă a intensității sprijinului public nerambursabil  este de</w:t>
      </w:r>
      <w:r>
        <w:rPr>
          <w:b/>
          <w:bCs/>
          <w:color w:val="000000" w:themeColor="text1"/>
          <w:sz w:val="22"/>
          <w:szCs w:val="22"/>
        </w:rPr>
        <w:t xml:space="preserve"> 1</w:t>
      </w:r>
      <w:r>
        <w:rPr>
          <w:b/>
          <w:bCs/>
          <w:color w:val="000000" w:themeColor="text1"/>
          <w:sz w:val="22"/>
          <w:szCs w:val="22"/>
        </w:rPr>
        <w:t>0</w:t>
      </w:r>
      <w:r>
        <w:rPr>
          <w:b/>
          <w:bCs/>
          <w:color w:val="000000" w:themeColor="text1"/>
          <w:sz w:val="22"/>
          <w:szCs w:val="22"/>
        </w:rPr>
        <w:t>.000 Euro.</w:t>
      </w:r>
    </w:p>
    <w:p>
      <w:pPr>
        <w:pStyle w:val="Default"/>
        <w:numPr>
          <w:ilvl w:val="0"/>
          <w:numId w:val="3"/>
        </w:numPr>
        <w:tabs>
          <w:tab w:val="left" w:pos="288" w:leader="none"/>
        </w:tabs>
        <w:spacing w:lineRule="auto" w:line="276"/>
        <w:ind w:left="0" w:hanging="0"/>
        <w:jc w:val="both"/>
        <w:rPr>
          <w:sz w:val="22"/>
          <w:szCs w:val="22"/>
        </w:rPr>
      </w:pPr>
      <w:r>
        <w:rPr>
          <w:sz w:val="22"/>
          <w:szCs w:val="22"/>
        </w:rPr>
        <w:t>Intensitatea sprijinului public nerambursabil este de</w:t>
      </w:r>
      <w:r>
        <w:rPr>
          <w:b/>
          <w:bCs/>
          <w:sz w:val="22"/>
          <w:szCs w:val="22"/>
        </w:rPr>
        <w:t xml:space="preserve"> </w:t>
      </w:r>
      <w:r>
        <w:rPr>
          <w:b/>
          <w:bCs/>
          <w:sz w:val="22"/>
          <w:szCs w:val="22"/>
          <w:lang w:val="en-US"/>
        </w:rPr>
        <w:t>100</w:t>
      </w:r>
      <w:r>
        <w:rPr>
          <w:b/>
          <w:bCs/>
          <w:sz w:val="22"/>
          <w:szCs w:val="22"/>
        </w:rPr>
        <w:t xml:space="preserve">% </w:t>
      </w:r>
      <w:r>
        <w:rPr>
          <w:sz w:val="22"/>
          <w:szCs w:val="22"/>
          <w:lang w:val="en-US"/>
        </w:rPr>
        <w:t>din totalul cheltuielilor eligibile</w:t>
      </w:r>
      <w:r>
        <w:rPr>
          <w:b/>
          <w:bCs/>
          <w:sz w:val="22"/>
          <w:szCs w:val="22"/>
        </w:rPr>
        <w:t>.</w:t>
      </w:r>
    </w:p>
    <w:p>
      <w:pPr>
        <w:pStyle w:val="Default"/>
        <w:spacing w:lineRule="auto" w:line="276"/>
        <w:jc w:val="both"/>
        <w:rPr>
          <w:sz w:val="22"/>
          <w:szCs w:val="22"/>
        </w:rPr>
      </w:pPr>
      <w:r>
        <w:rPr>
          <w:sz w:val="22"/>
          <w:szCs w:val="22"/>
        </w:rPr>
        <w:t>Aplicarea intensității</w:t>
      </w:r>
      <w:r>
        <w:rPr>
          <w:sz w:val="22"/>
          <w:szCs w:val="22"/>
          <w:lang w:val="en-US"/>
        </w:rPr>
        <w:t xml:space="preserve"> sprijinului în procent de 100% </w:t>
      </w:r>
      <w:r>
        <w:rPr>
          <w:sz w:val="22"/>
          <w:szCs w:val="22"/>
        </w:rPr>
        <w:t>s-a bazat pe faptul că această măsură vizează proiecte din categoria</w:t>
      </w:r>
      <w:r>
        <w:rPr>
          <w:b/>
          <w:bCs/>
          <w:sz w:val="22"/>
          <w:szCs w:val="22"/>
        </w:rPr>
        <w:t xml:space="preserve"> operațiunilor negeneratoare de venit.</w:t>
      </w:r>
    </w:p>
    <w:p>
      <w:pPr>
        <w:pStyle w:val="Default"/>
        <w:spacing w:lineRule="auto" w:line="276"/>
        <w:jc w:val="both"/>
        <w:rPr>
          <w:sz w:val="22"/>
          <w:szCs w:val="22"/>
        </w:rPr>
      </w:pPr>
      <w:r>
        <w:rPr>
          <w:sz w:val="22"/>
          <w:szCs w:val="22"/>
        </w:rPr>
        <w:t>Intenstitatea și valoarea sprijinului țin cont de obiectivele și prioritățile SDL și de specificul local, respectiv necesitățile de instruire în domeniul agricol identificate în teritoriu, caracterul inovator al intervenției la nivel local.</w:t>
      </w:r>
    </w:p>
    <w:p>
      <w:pPr>
        <w:pStyle w:val="Default"/>
        <w:shd w:val="clear" w:color="auto" w:fill="E5DFEC" w:themeFill="accent4" w:themeFillTint="33"/>
        <w:spacing w:lineRule="auto" w:line="276"/>
        <w:rPr>
          <w:sz w:val="22"/>
          <w:szCs w:val="22"/>
        </w:rPr>
      </w:pPr>
      <w:r>
        <w:rPr>
          <w:b/>
          <w:bCs/>
          <w:sz w:val="22"/>
          <w:szCs w:val="22"/>
        </w:rPr>
        <w:t xml:space="preserve">10. Indicatori de monitorizare </w:t>
      </w:r>
    </w:p>
    <w:p>
      <w:pPr>
        <w:pStyle w:val="Default"/>
        <w:spacing w:lineRule="auto" w:line="276"/>
        <w:jc w:val="both"/>
        <w:rPr>
          <w:b/>
          <w:b/>
          <w:sz w:val="22"/>
          <w:szCs w:val="22"/>
        </w:rPr>
      </w:pPr>
      <w:r>
        <w:rPr>
          <w:b/>
          <w:sz w:val="22"/>
          <w:szCs w:val="22"/>
        </w:rPr>
        <w:t>- Numărul total al participanților instruiți – 10.</w:t>
      </w:r>
    </w:p>
    <w:p>
      <w:pPr>
        <w:pStyle w:val="Normal"/>
        <w:spacing w:before="0" w:after="0"/>
        <w:rPr/>
      </w:pPr>
      <w:r>
        <w:rPr/>
      </w:r>
    </w:p>
    <w:sectPr>
      <w:headerReference w:type="default" r:id="rId2"/>
      <w:footerReference w:type="default" r:id="rId3"/>
      <w:type w:val="nextPage"/>
      <w:pgSz w:w="12240" w:h="15840"/>
      <w:pgMar w:left="1440" w:right="1440" w:header="425" w:top="1440" w:footer="0" w:bottom="1440"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Trebuchet MS">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0" w:type="dxa"/>
      <w:tblBorders>
        <w:top w:val="single" w:sz="4" w:space="0" w:color="8064A2"/>
      </w:tblBorders>
      <w:tblCellMar>
        <w:top w:w="0" w:type="dxa"/>
        <w:left w:w="108" w:type="dxa"/>
        <w:bottom w:w="0" w:type="dxa"/>
        <w:right w:w="108" w:type="dxa"/>
      </w:tblCellMar>
      <w:tblLook w:val="04a0"/>
    </w:tblPr>
    <w:tblGrid>
      <w:gridCol w:w="8836"/>
      <w:gridCol w:w="523"/>
    </w:tblGrid>
    <w:tr>
      <w:trPr>
        <w:trHeight w:val="360" w:hRule="atLeast"/>
      </w:trPr>
      <w:tc>
        <w:tcPr>
          <w:tcW w:w="8836" w:type="dxa"/>
          <w:tcBorders>
            <w:top w:val="single" w:sz="4" w:space="0" w:color="8064A2"/>
          </w:tcBorders>
          <w:shd w:color="auto" w:fill="auto" w:val="clear"/>
        </w:tcPr>
        <w:p>
          <w:pPr>
            <w:pStyle w:val="Footer"/>
            <w:jc w:val="right"/>
            <w:rPr>
              <w:rFonts w:ascii="Trebuchet MS" w:hAnsi="Trebuchet MS"/>
              <w:b/>
              <w:b/>
              <w:shadow/>
              <w:sz w:val="22"/>
              <w:szCs w:val="22"/>
            </w:rPr>
          </w:pPr>
          <w:r>
            <w:rPr>
              <w:rFonts w:ascii="Trebuchet MS" w:hAnsi="Trebuchet MS"/>
              <w:b/>
              <w:shadow/>
              <w:sz w:val="22"/>
              <w:szCs w:val="22"/>
            </w:rPr>
            <w:t>Fișa Măsurii M1</w:t>
          </w:r>
        </w:p>
      </w:tc>
      <w:tc>
        <w:tcPr>
          <w:tcW w:w="523" w:type="dxa"/>
          <w:tcBorders>
            <w:top w:val="single" w:sz="4" w:space="0" w:color="8064A2"/>
          </w:tcBorders>
          <w:shd w:color="auto" w:fill="8064A2" w:themeFill="accent4" w:val="clear"/>
        </w:tcPr>
        <w:p>
          <w:pPr>
            <w:pStyle w:val="Footer"/>
            <w:jc w:val="center"/>
            <w:rPr/>
          </w:pPr>
          <w:r>
            <w:rPr/>
            <w:fldChar w:fldCharType="begin"/>
          </w:r>
          <w:r>
            <w:instrText> PAGE </w:instrText>
          </w:r>
          <w:r>
            <w:fldChar w:fldCharType="separate"/>
          </w:r>
          <w:r>
            <w:t>3</w:t>
          </w:r>
          <w:r>
            <w:fldChar w:fldCharType="end"/>
          </w:r>
        </w:p>
      </w:tc>
    </w:tr>
  </w:tbl>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549" w:type="dxa"/>
      <w:jc w:val="left"/>
      <w:tblInd w:w="-9" w:type="dxa"/>
      <w:tblBorders/>
      <w:tblCellMar>
        <w:top w:w="0" w:type="dxa"/>
        <w:left w:w="108" w:type="dxa"/>
        <w:bottom w:w="0" w:type="dxa"/>
        <w:right w:w="108" w:type="dxa"/>
      </w:tblCellMar>
      <w:tblLook w:val="04a0"/>
    </w:tblPr>
    <w:tblGrid>
      <w:gridCol w:w="6244"/>
      <w:gridCol w:w="3304"/>
    </w:tblGrid>
    <w:tr>
      <w:trPr>
        <w:trHeight w:val="534" w:hRule="atLeast"/>
      </w:trPr>
      <w:tc>
        <w:tcPr>
          <w:tcW w:w="6244" w:type="dxa"/>
          <w:tcBorders/>
          <w:shd w:color="auto" w:fill="8064A2" w:themeFill="accent4" w:val="clear"/>
          <w:vAlign w:val="center"/>
        </w:tcPr>
        <w:p>
          <w:pPr>
            <w:pStyle w:val="Header"/>
            <w:jc w:val="right"/>
            <w:rPr>
              <w:rFonts w:ascii="Trebuchet MS" w:hAnsi="Trebuchet MS"/>
              <w:caps/>
              <w:color w:val="FFFFFF" w:themeColor="background1"/>
              <w:sz w:val="22"/>
              <w:szCs w:val="22"/>
            </w:rPr>
          </w:pPr>
          <w:sdt>
            <w:sdtPr>
              <w:text/>
              <w:dataBinding w:prefixMappings="xmlns:ns0='http://schemas.openxmlformats.org/package/2006/metadata/core-properties' xmlns:ns1='http://purl.org/dc/elements/1.1/'" w:xpath="/ns0:coreProperties[1]/ns1:title[1]" w:storeItemID="{6C3C8BC8-F283-45AE-878A-BAB7291924A1}"/>
              <w:alias w:val="Title"/>
            </w:sdtPr>
            <w:sdtContent>
              <w:r>
                <w:rPr>
                  <w:rFonts w:ascii="Trebuchet MS" w:hAnsi="Trebuchet MS"/>
                  <w:b/>
                  <w:caps/>
                  <w:shadow/>
                  <w:color w:val="FFFFFF" w:themeColor="background1"/>
                  <w:sz w:val="22"/>
                  <w:szCs w:val="22"/>
                </w:rPr>
                <w:t>Grupu</w:t>
              </w:r>
              <w:r>
                <w:rPr>
                  <w:rFonts w:ascii="Trebuchet MS" w:hAnsi="Trebuchet MS"/>
                  <w:b/>
                  <w:caps/>
                  <w:shadow/>
                  <w:color w:val="FFFFFF" w:themeColor="background1"/>
                  <w:sz w:val="22"/>
                  <w:szCs w:val="22"/>
                </w:rPr>
                <w:t>l de acțiune locală sudul gorjului</w:t>
              </w:r>
            </w:sdtContent>
          </w:sdt>
        </w:p>
      </w:tc>
      <w:tc>
        <w:tcPr>
          <w:tcW w:w="3304" w:type="dxa"/>
          <w:tcBorders/>
          <w:shd w:color="auto" w:fill="000000" w:themeFill="text1" w:val="clear"/>
          <w:vAlign w:val="center"/>
        </w:tcPr>
        <w:p>
          <w:pPr>
            <w:pStyle w:val="Header"/>
            <w:jc w:val="center"/>
            <w:rPr>
              <w:rFonts w:ascii="Trebuchet MS" w:hAnsi="Trebuchet MS"/>
              <w:shadow/>
              <w:color w:val="FFFFFF" w:themeColor="background1"/>
              <w:sz w:val="22"/>
              <w:szCs w:val="22"/>
            </w:rPr>
          </w:pPr>
          <w:r>
            <w:rPr>
              <w:rFonts w:ascii="Trebuchet MS" w:hAnsi="Trebuchet MS"/>
              <w:shadow/>
              <w:color w:val="FFFFFF" w:themeColor="background1"/>
              <w:sz w:val="22"/>
              <w:szCs w:val="22"/>
            </w:rPr>
            <w:t>Strategia de Dezvoltare Locală</w:t>
          </w:r>
        </w:p>
      </w:tc>
    </w:tr>
  </w:tbl>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2"/>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b/>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b/>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sz w:val="22"/>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b/>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b/>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sz w:val="22"/>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b/>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b/>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en-US" w:eastAsia="en-US" w:bidi="ar-SA"/>
      </w:rPr>
    </w:rPrDefault>
    <w:pPrDefault>
      <w:pPr>
        <w:spacing w:lineRule="auto" w:line="276"/>
        <w:jc w:val="both"/>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602b4"/>
    <w:pPr>
      <w:widowControl/>
      <w:suppressAutoHyphens w:val="true"/>
      <w:bidi w:val="0"/>
      <w:spacing w:before="0" w:after="200" w:lineRule="auto" w:line="276"/>
      <w:jc w:val="left"/>
    </w:pPr>
    <w:rPr>
      <w:rFonts w:ascii="Calibri" w:hAnsi="Calibri" w:eastAsia="Times New Roman" w:cs="Times New Roman"/>
      <w:color w:val="00000A"/>
      <w:sz w:val="20"/>
      <w:szCs w:val="20"/>
      <w:lang w:bidi="en-US" w:val="en-US" w:eastAsia="en-US"/>
    </w:rPr>
  </w:style>
  <w:style w:type="paragraph" w:styleId="Heading1">
    <w:name w:val="Heading 1"/>
    <w:basedOn w:val="Normal"/>
    <w:next w:val="Normal"/>
    <w:link w:val="Heading1Char"/>
    <w:uiPriority w:val="9"/>
    <w:qFormat/>
    <w:rsid w:val="002332c1"/>
    <w:pPr>
      <w:spacing w:before="300" w:after="40"/>
      <w:outlineLvl w:val="0"/>
    </w:pPr>
    <w:rPr>
      <w:rFonts w:cs="Arial"/>
      <w:smallCaps/>
      <w:spacing w:val="5"/>
      <w:sz w:val="32"/>
      <w:szCs w:val="32"/>
      <w:lang w:bidi="ar-SA"/>
    </w:rPr>
  </w:style>
  <w:style w:type="paragraph" w:styleId="Heading2">
    <w:name w:val="Heading 2"/>
    <w:basedOn w:val="Normal"/>
    <w:next w:val="Normal"/>
    <w:link w:val="Heading2Char"/>
    <w:uiPriority w:val="9"/>
    <w:unhideWhenUsed/>
    <w:qFormat/>
    <w:rsid w:val="002332c1"/>
    <w:pPr>
      <w:spacing w:before="240" w:after="80"/>
      <w:outlineLvl w:val="1"/>
    </w:pPr>
    <w:rPr>
      <w:rFonts w:eastAsia="" w:cs="" w:cstheme="majorBidi" w:eastAsiaTheme="majorEastAsia"/>
      <w:smallCaps/>
      <w:spacing w:val="5"/>
      <w:sz w:val="28"/>
      <w:szCs w:val="28"/>
      <w:lang w:bidi="ar-SA"/>
    </w:rPr>
  </w:style>
  <w:style w:type="paragraph" w:styleId="Heading3">
    <w:name w:val="Heading 3"/>
    <w:basedOn w:val="Normal"/>
    <w:next w:val="Normal"/>
    <w:link w:val="Heading3Char"/>
    <w:uiPriority w:val="9"/>
    <w:unhideWhenUsed/>
    <w:qFormat/>
    <w:rsid w:val="002332c1"/>
    <w:pPr>
      <w:spacing w:before="0" w:after="0"/>
      <w:outlineLvl w:val="2"/>
    </w:pPr>
    <w:rPr>
      <w:rFonts w:cs="Arial"/>
      <w:smallCaps/>
      <w:spacing w:val="5"/>
      <w:sz w:val="24"/>
      <w:szCs w:val="24"/>
      <w:lang w:bidi="ar-SA"/>
    </w:rPr>
  </w:style>
  <w:style w:type="paragraph" w:styleId="Heading4">
    <w:name w:val="Heading 4"/>
    <w:basedOn w:val="Normal"/>
    <w:next w:val="Normal"/>
    <w:link w:val="Heading4Char"/>
    <w:uiPriority w:val="9"/>
    <w:unhideWhenUsed/>
    <w:qFormat/>
    <w:rsid w:val="002332c1"/>
    <w:pPr>
      <w:spacing w:before="240" w:after="0"/>
      <w:outlineLvl w:val="3"/>
    </w:pPr>
    <w:rPr>
      <w:smallCaps/>
      <w:spacing w:val="10"/>
      <w:sz w:val="22"/>
      <w:szCs w:val="22"/>
      <w:lang w:bidi="ar-SA"/>
    </w:rPr>
  </w:style>
  <w:style w:type="paragraph" w:styleId="Heading5">
    <w:name w:val="Heading 5"/>
    <w:basedOn w:val="Normal"/>
    <w:next w:val="Normal"/>
    <w:link w:val="Heading5Char"/>
    <w:uiPriority w:val="9"/>
    <w:unhideWhenUsed/>
    <w:qFormat/>
    <w:rsid w:val="002332c1"/>
    <w:pPr>
      <w:spacing w:before="200" w:after="0"/>
      <w:outlineLvl w:val="4"/>
    </w:pPr>
    <w:rPr>
      <w:smallCaps/>
      <w:color w:val="943634"/>
      <w:spacing w:val="10"/>
      <w:sz w:val="22"/>
      <w:szCs w:val="26"/>
      <w:lang w:bidi="ar-SA"/>
    </w:rPr>
  </w:style>
  <w:style w:type="paragraph" w:styleId="Heading6">
    <w:name w:val="Heading 6"/>
    <w:basedOn w:val="Normal"/>
    <w:next w:val="Normal"/>
    <w:link w:val="Heading6Char"/>
    <w:uiPriority w:val="9"/>
    <w:unhideWhenUsed/>
    <w:qFormat/>
    <w:rsid w:val="002332c1"/>
    <w:pPr>
      <w:spacing w:before="0" w:after="0"/>
      <w:outlineLvl w:val="5"/>
    </w:pPr>
    <w:rPr>
      <w:smallCaps/>
      <w:color w:val="C0504D"/>
      <w:spacing w:val="5"/>
      <w:sz w:val="22"/>
      <w:lang w:bidi="ar-SA"/>
    </w:rPr>
  </w:style>
  <w:style w:type="paragraph" w:styleId="Heading7">
    <w:name w:val="Heading 7"/>
    <w:basedOn w:val="Normal"/>
    <w:next w:val="Normal"/>
    <w:link w:val="Heading7Char"/>
    <w:uiPriority w:val="9"/>
    <w:unhideWhenUsed/>
    <w:qFormat/>
    <w:rsid w:val="002332c1"/>
    <w:pPr>
      <w:spacing w:before="0" w:after="0"/>
      <w:outlineLvl w:val="6"/>
    </w:pPr>
    <w:rPr>
      <w:b/>
      <w:smallCaps/>
      <w:color w:val="C0504D"/>
      <w:spacing w:val="10"/>
      <w:lang w:bidi="ar-SA"/>
    </w:rPr>
  </w:style>
  <w:style w:type="paragraph" w:styleId="Heading8">
    <w:name w:val="Heading 8"/>
    <w:basedOn w:val="Normal"/>
    <w:next w:val="Normal"/>
    <w:link w:val="Heading8Char"/>
    <w:uiPriority w:val="9"/>
    <w:unhideWhenUsed/>
    <w:qFormat/>
    <w:rsid w:val="002332c1"/>
    <w:pPr>
      <w:spacing w:before="0" w:after="0"/>
      <w:outlineLvl w:val="7"/>
    </w:pPr>
    <w:rPr>
      <w:b/>
      <w:i/>
      <w:smallCaps/>
      <w:color w:val="943634"/>
      <w:lang w:bidi="ar-SA"/>
    </w:rPr>
  </w:style>
  <w:style w:type="paragraph" w:styleId="Heading9">
    <w:name w:val="Heading 9"/>
    <w:basedOn w:val="Normal"/>
    <w:next w:val="Normal"/>
    <w:link w:val="Heading9Char"/>
    <w:uiPriority w:val="9"/>
    <w:unhideWhenUsed/>
    <w:qFormat/>
    <w:rsid w:val="002332c1"/>
    <w:pPr>
      <w:spacing w:before="0" w:after="0"/>
      <w:outlineLvl w:val="8"/>
    </w:pPr>
    <w:rPr>
      <w:rFonts w:cs="Arial"/>
      <w:b/>
      <w:i/>
      <w:smallCaps/>
      <w:color w:val="622423"/>
      <w:lang w:bidi="ar-SA"/>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2332c1"/>
    <w:rPr>
      <w:rFonts w:cs="Arial"/>
      <w:smallCaps/>
      <w:spacing w:val="5"/>
      <w:sz w:val="32"/>
      <w:szCs w:val="32"/>
    </w:rPr>
  </w:style>
  <w:style w:type="character" w:styleId="Heading2Char" w:customStyle="1">
    <w:name w:val="Heading 2 Char"/>
    <w:basedOn w:val="DefaultParagraphFont"/>
    <w:link w:val="Heading2"/>
    <w:uiPriority w:val="9"/>
    <w:qFormat/>
    <w:rsid w:val="002332c1"/>
    <w:rPr>
      <w:rFonts w:eastAsia="" w:cs="" w:cstheme="majorBidi" w:eastAsiaTheme="majorEastAsia"/>
      <w:smallCaps/>
      <w:spacing w:val="5"/>
      <w:sz w:val="28"/>
      <w:szCs w:val="28"/>
    </w:rPr>
  </w:style>
  <w:style w:type="character" w:styleId="Heading3Char" w:customStyle="1">
    <w:name w:val="Heading 3 Char"/>
    <w:basedOn w:val="DefaultParagraphFont"/>
    <w:link w:val="Heading3"/>
    <w:uiPriority w:val="9"/>
    <w:qFormat/>
    <w:rsid w:val="002332c1"/>
    <w:rPr>
      <w:rFonts w:cs="Arial"/>
      <w:smallCaps/>
      <w:spacing w:val="5"/>
      <w:sz w:val="24"/>
      <w:szCs w:val="24"/>
    </w:rPr>
  </w:style>
  <w:style w:type="character" w:styleId="Heading4Char" w:customStyle="1">
    <w:name w:val="Heading 4 Char"/>
    <w:basedOn w:val="DefaultParagraphFont"/>
    <w:link w:val="Heading4"/>
    <w:uiPriority w:val="9"/>
    <w:qFormat/>
    <w:rsid w:val="002332c1"/>
    <w:rPr>
      <w:smallCaps/>
      <w:spacing w:val="10"/>
      <w:sz w:val="22"/>
      <w:szCs w:val="22"/>
    </w:rPr>
  </w:style>
  <w:style w:type="character" w:styleId="Heading5Char" w:customStyle="1">
    <w:name w:val="Heading 5 Char"/>
    <w:basedOn w:val="DefaultParagraphFont"/>
    <w:link w:val="Heading5"/>
    <w:uiPriority w:val="9"/>
    <w:qFormat/>
    <w:rsid w:val="002332c1"/>
    <w:rPr>
      <w:smallCaps/>
      <w:color w:val="943634"/>
      <w:spacing w:val="10"/>
      <w:sz w:val="22"/>
      <w:szCs w:val="26"/>
    </w:rPr>
  </w:style>
  <w:style w:type="character" w:styleId="Heading6Char" w:customStyle="1">
    <w:name w:val="Heading 6 Char"/>
    <w:basedOn w:val="DefaultParagraphFont"/>
    <w:link w:val="Heading6"/>
    <w:uiPriority w:val="9"/>
    <w:qFormat/>
    <w:rsid w:val="002332c1"/>
    <w:rPr>
      <w:smallCaps/>
      <w:color w:val="C0504D"/>
      <w:spacing w:val="5"/>
      <w:sz w:val="22"/>
    </w:rPr>
  </w:style>
  <w:style w:type="character" w:styleId="Heading7Char" w:customStyle="1">
    <w:name w:val="Heading 7 Char"/>
    <w:basedOn w:val="DefaultParagraphFont"/>
    <w:link w:val="Heading7"/>
    <w:uiPriority w:val="9"/>
    <w:qFormat/>
    <w:rsid w:val="002332c1"/>
    <w:rPr>
      <w:b/>
      <w:smallCaps/>
      <w:color w:val="C0504D"/>
      <w:spacing w:val="10"/>
    </w:rPr>
  </w:style>
  <w:style w:type="character" w:styleId="Heading8Char" w:customStyle="1">
    <w:name w:val="Heading 8 Char"/>
    <w:basedOn w:val="DefaultParagraphFont"/>
    <w:link w:val="Heading8"/>
    <w:uiPriority w:val="9"/>
    <w:qFormat/>
    <w:rsid w:val="002332c1"/>
    <w:rPr>
      <w:b/>
      <w:i/>
      <w:smallCaps/>
      <w:color w:val="943634"/>
    </w:rPr>
  </w:style>
  <w:style w:type="character" w:styleId="Heading9Char" w:customStyle="1">
    <w:name w:val="Heading 9 Char"/>
    <w:basedOn w:val="DefaultParagraphFont"/>
    <w:link w:val="Heading9"/>
    <w:uiPriority w:val="9"/>
    <w:qFormat/>
    <w:rsid w:val="002332c1"/>
    <w:rPr>
      <w:rFonts w:cs="Arial"/>
      <w:b/>
      <w:i/>
      <w:smallCaps/>
      <w:color w:val="622423"/>
    </w:rPr>
  </w:style>
  <w:style w:type="character" w:styleId="TitleChar" w:customStyle="1">
    <w:name w:val="Title Char"/>
    <w:basedOn w:val="DefaultParagraphFont"/>
    <w:link w:val="Title"/>
    <w:uiPriority w:val="10"/>
    <w:qFormat/>
    <w:rsid w:val="002332c1"/>
    <w:rPr>
      <w:rFonts w:eastAsia="" w:cs="" w:cstheme="majorBidi" w:eastAsiaTheme="majorEastAsia"/>
      <w:smallCaps/>
      <w:sz w:val="48"/>
      <w:szCs w:val="48"/>
    </w:rPr>
  </w:style>
  <w:style w:type="character" w:styleId="SubtitleChar" w:customStyle="1">
    <w:name w:val="Subtitle Char"/>
    <w:basedOn w:val="DefaultParagraphFont"/>
    <w:link w:val="Subtitle"/>
    <w:uiPriority w:val="11"/>
    <w:qFormat/>
    <w:rsid w:val="002332c1"/>
    <w:rPr>
      <w:rFonts w:ascii="Cambria" w:hAnsi="Cambria" w:eastAsia="" w:cs="" w:cstheme="majorBidi" w:eastAsiaTheme="majorEastAsia"/>
      <w:szCs w:val="22"/>
    </w:rPr>
  </w:style>
  <w:style w:type="character" w:styleId="Strong">
    <w:name w:val="Strong"/>
    <w:uiPriority w:val="22"/>
    <w:qFormat/>
    <w:rsid w:val="002332c1"/>
    <w:rPr>
      <w:b/>
      <w:color w:val="C0504D"/>
    </w:rPr>
  </w:style>
  <w:style w:type="character" w:styleId="Emphasis">
    <w:name w:val="Emphasis"/>
    <w:uiPriority w:val="20"/>
    <w:qFormat/>
    <w:rsid w:val="002332c1"/>
    <w:rPr>
      <w:b/>
      <w:i/>
      <w:spacing w:val="10"/>
    </w:rPr>
  </w:style>
  <w:style w:type="character" w:styleId="NoSpacingChar" w:customStyle="1">
    <w:name w:val="No Spacing Char"/>
    <w:basedOn w:val="DefaultParagraphFont"/>
    <w:link w:val="NoSpacing"/>
    <w:uiPriority w:val="1"/>
    <w:qFormat/>
    <w:rsid w:val="002332c1"/>
    <w:rPr>
      <w:rFonts w:eastAsia="" w:eastAsiaTheme="minorEastAsia"/>
      <w:lang w:bidi="en-US"/>
    </w:rPr>
  </w:style>
  <w:style w:type="character" w:styleId="ListParagraphChar" w:customStyle="1">
    <w:name w:val="List Paragraph Char"/>
    <w:basedOn w:val="DefaultParagraphFont"/>
    <w:link w:val="ListParagraph"/>
    <w:uiPriority w:val="34"/>
    <w:qFormat/>
    <w:rsid w:val="002332c1"/>
    <w:rPr>
      <w:lang w:bidi="en-US"/>
    </w:rPr>
  </w:style>
  <w:style w:type="character" w:styleId="QuoteChar" w:customStyle="1">
    <w:name w:val="Quote Char"/>
    <w:basedOn w:val="DefaultParagraphFont"/>
    <w:link w:val="Quote"/>
    <w:uiPriority w:val="29"/>
    <w:qFormat/>
    <w:rsid w:val="002332c1"/>
    <w:rPr>
      <w:rFonts w:eastAsia="Calibri"/>
      <w:i/>
    </w:rPr>
  </w:style>
  <w:style w:type="character" w:styleId="IntenseQuoteChar" w:customStyle="1">
    <w:name w:val="Intense Quote Char"/>
    <w:basedOn w:val="DefaultParagraphFont"/>
    <w:link w:val="IntenseQuote"/>
    <w:uiPriority w:val="30"/>
    <w:qFormat/>
    <w:rsid w:val="002332c1"/>
    <w:rPr>
      <w:i/>
      <w:color w:val="FFFFFF"/>
      <w:shd w:fill="C0504D" w:val="clear"/>
    </w:rPr>
  </w:style>
  <w:style w:type="character" w:styleId="SubtleEmphasis">
    <w:name w:val="Subtle Emphasis"/>
    <w:uiPriority w:val="19"/>
    <w:qFormat/>
    <w:rsid w:val="002332c1"/>
    <w:rPr>
      <w:i/>
    </w:rPr>
  </w:style>
  <w:style w:type="character" w:styleId="IntenseEmphasis">
    <w:name w:val="Intense Emphasis"/>
    <w:uiPriority w:val="21"/>
    <w:qFormat/>
    <w:rsid w:val="002332c1"/>
    <w:rPr>
      <w:b/>
      <w:i/>
      <w:color w:val="C0504D"/>
      <w:spacing w:val="10"/>
    </w:rPr>
  </w:style>
  <w:style w:type="character" w:styleId="SubtleReference">
    <w:name w:val="Subtle Reference"/>
    <w:uiPriority w:val="31"/>
    <w:qFormat/>
    <w:rsid w:val="002332c1"/>
    <w:rPr>
      <w:b/>
    </w:rPr>
  </w:style>
  <w:style w:type="character" w:styleId="IntenseReference">
    <w:name w:val="Intense Reference"/>
    <w:uiPriority w:val="32"/>
    <w:qFormat/>
    <w:rsid w:val="002332c1"/>
    <w:rPr>
      <w:b/>
      <w:bCs/>
      <w:smallCaps/>
      <w:spacing w:val="5"/>
      <w:sz w:val="22"/>
      <w:szCs w:val="22"/>
      <w:u w:val="single"/>
    </w:rPr>
  </w:style>
  <w:style w:type="character" w:styleId="BookTitle">
    <w:name w:val="Book Title"/>
    <w:uiPriority w:val="33"/>
    <w:qFormat/>
    <w:rsid w:val="002332c1"/>
    <w:rPr>
      <w:rFonts w:ascii="Cambria" w:hAnsi="Cambria" w:eastAsia="Times New Roman" w:cs="Times New Roman"/>
      <w:i/>
      <w:iCs/>
      <w:sz w:val="20"/>
      <w:szCs w:val="20"/>
    </w:rPr>
  </w:style>
  <w:style w:type="character" w:styleId="InternetLink" w:customStyle="1">
    <w:name w:val="Internet Link"/>
    <w:basedOn w:val="DefaultParagraphFont"/>
    <w:uiPriority w:val="99"/>
    <w:unhideWhenUsed/>
    <w:rsid w:val="00187154"/>
    <w:rPr>
      <w:color w:val="0000FF" w:themeColor="hyperlink"/>
      <w:u w:val="single"/>
    </w:rPr>
  </w:style>
  <w:style w:type="character" w:styleId="FootnoteTextChar" w:customStyle="1">
    <w:name w:val="Footnote Text Char"/>
    <w:basedOn w:val="DefaultParagraphFont"/>
    <w:link w:val="FootnoteText"/>
    <w:uiPriority w:val="99"/>
    <w:qFormat/>
    <w:rsid w:val="00d602b4"/>
    <w:rPr>
      <w:lang w:bidi="en-US"/>
    </w:rPr>
  </w:style>
  <w:style w:type="character" w:styleId="Footnotereference">
    <w:name w:val="footnote reference"/>
    <w:basedOn w:val="DefaultParagraphFont"/>
    <w:uiPriority w:val="99"/>
    <w:semiHidden/>
    <w:unhideWhenUsed/>
    <w:qFormat/>
    <w:rsid w:val="00d602b4"/>
    <w:rPr>
      <w:vertAlign w:val="superscript"/>
    </w:rPr>
  </w:style>
  <w:style w:type="character" w:styleId="FootnoteAnchor" w:customStyle="1">
    <w:name w:val="Footnote Anchor"/>
    <w:rsid w:val="00d602b4"/>
    <w:rPr>
      <w:vertAlign w:val="superscript"/>
    </w:rPr>
  </w:style>
  <w:style w:type="character" w:styleId="FootnoteTextChar1" w:customStyle="1">
    <w:name w:val="Footnote Text Char1"/>
    <w:basedOn w:val="DefaultParagraphFont"/>
    <w:uiPriority w:val="99"/>
    <w:semiHidden/>
    <w:qFormat/>
    <w:rsid w:val="00d602b4"/>
    <w:rPr>
      <w:lang w:bidi="en-US"/>
    </w:rPr>
  </w:style>
  <w:style w:type="character" w:styleId="HeaderChar" w:customStyle="1">
    <w:name w:val="Header Char"/>
    <w:basedOn w:val="DefaultParagraphFont"/>
    <w:link w:val="Header"/>
    <w:uiPriority w:val="99"/>
    <w:qFormat/>
    <w:rsid w:val="00cd33bd"/>
    <w:rPr>
      <w:lang w:bidi="en-US"/>
    </w:rPr>
  </w:style>
  <w:style w:type="character" w:styleId="FooterChar" w:customStyle="1">
    <w:name w:val="Footer Char"/>
    <w:basedOn w:val="DefaultParagraphFont"/>
    <w:link w:val="Footer"/>
    <w:uiPriority w:val="99"/>
    <w:qFormat/>
    <w:rsid w:val="00cd33bd"/>
    <w:rPr>
      <w:lang w:bidi="en-US"/>
    </w:rPr>
  </w:style>
  <w:style w:type="character" w:styleId="ListLabel1" w:customStyle="1">
    <w:name w:val="ListLabel 1"/>
    <w:qFormat/>
    <w:rsid w:val="002812ec"/>
    <w:rPr>
      <w:rFonts w:cs="Wingdings 2"/>
    </w:rPr>
  </w:style>
  <w:style w:type="character" w:styleId="ListLabel2" w:customStyle="1">
    <w:name w:val="ListLabel 2"/>
    <w:qFormat/>
    <w:rsid w:val="002812ec"/>
    <w:rPr>
      <w:rFonts w:cs="Courier New"/>
    </w:rPr>
  </w:style>
  <w:style w:type="character" w:styleId="ListLabel3" w:customStyle="1">
    <w:name w:val="ListLabel 3"/>
    <w:qFormat/>
    <w:rsid w:val="002812ec"/>
    <w:rPr>
      <w:rFonts w:cs="Wingdings"/>
    </w:rPr>
  </w:style>
  <w:style w:type="character" w:styleId="ListLabel4" w:customStyle="1">
    <w:name w:val="ListLabel 4"/>
    <w:qFormat/>
    <w:rsid w:val="002812ec"/>
    <w:rPr>
      <w:rFonts w:cs="Symbol"/>
    </w:rPr>
  </w:style>
  <w:style w:type="character" w:styleId="FootnoteCharacters" w:customStyle="1">
    <w:name w:val="Footnote Characters"/>
    <w:qFormat/>
    <w:rsid w:val="00207a21"/>
    <w:rPr/>
  </w:style>
  <w:style w:type="character" w:styleId="EndnoteAnchor" w:customStyle="1">
    <w:name w:val="Endnote Anchor"/>
    <w:rsid w:val="00207a21"/>
    <w:rPr>
      <w:vertAlign w:val="superscript"/>
    </w:rPr>
  </w:style>
  <w:style w:type="character" w:styleId="EndnoteCharacters" w:customStyle="1">
    <w:name w:val="Endnote Characters"/>
    <w:qFormat/>
    <w:rsid w:val="00207a21"/>
    <w:rPr/>
  </w:style>
  <w:style w:type="character" w:styleId="VisitedInternetLink" w:customStyle="1">
    <w:name w:val="Visited Internet Link"/>
    <w:rsid w:val="00207a21"/>
    <w:rPr>
      <w:color w:val="800000"/>
      <w:u w:val="single"/>
    </w:rPr>
  </w:style>
  <w:style w:type="character" w:styleId="BalloonTextChar" w:customStyle="1">
    <w:name w:val="Balloon Text Char"/>
    <w:basedOn w:val="DefaultParagraphFont"/>
    <w:link w:val="BalloonText"/>
    <w:uiPriority w:val="99"/>
    <w:semiHidden/>
    <w:qFormat/>
    <w:rsid w:val="00684f44"/>
    <w:rPr>
      <w:rFonts w:ascii="Tahoma" w:hAnsi="Tahoma" w:cs="Tahoma"/>
      <w:color w:val="00000A"/>
      <w:sz w:val="16"/>
      <w:szCs w:val="16"/>
      <w:lang w:bidi="en-US"/>
    </w:rPr>
  </w:style>
  <w:style w:type="character" w:styleId="ListLabel5" w:customStyle="1">
    <w:name w:val="ListLabel 5"/>
    <w:qFormat/>
    <w:rsid w:val="001e4efc"/>
    <w:rPr>
      <w:rFonts w:cs="Symbol"/>
      <w:b/>
      <w:i w:val="false"/>
      <w:sz w:val="22"/>
    </w:rPr>
  </w:style>
  <w:style w:type="character" w:styleId="ListLabel6" w:customStyle="1">
    <w:name w:val="ListLabel 6"/>
    <w:qFormat/>
    <w:rsid w:val="001e4efc"/>
    <w:rPr>
      <w:rFonts w:cs="Courier New"/>
    </w:rPr>
  </w:style>
  <w:style w:type="character" w:styleId="ListLabel7" w:customStyle="1">
    <w:name w:val="ListLabel 7"/>
    <w:qFormat/>
    <w:rsid w:val="001e4efc"/>
    <w:rPr>
      <w:rFonts w:cs="Wingdings"/>
    </w:rPr>
  </w:style>
  <w:style w:type="character" w:styleId="ListLabel8" w:customStyle="1">
    <w:name w:val="ListLabel 8"/>
    <w:qFormat/>
    <w:rsid w:val="001e4efc"/>
    <w:rPr>
      <w:rFonts w:cs="Symbol"/>
    </w:rPr>
  </w:style>
  <w:style w:type="character" w:styleId="ListLabel9" w:customStyle="1">
    <w:name w:val="ListLabel 9"/>
    <w:qFormat/>
    <w:rsid w:val="001e4efc"/>
    <w:rPr>
      <w:rFonts w:ascii="Trebuchet MS" w:hAnsi="Trebuchet MS" w:cs="Symbol"/>
      <w:b/>
      <w:sz w:val="22"/>
    </w:rPr>
  </w:style>
  <w:style w:type="character" w:styleId="ListLabel10">
    <w:name w:val="ListLabel 10"/>
    <w:qFormat/>
    <w:rPr>
      <w:rFonts w:ascii="Trebuchet MS" w:hAnsi="Trebuchet MS" w:cs="Symbol"/>
      <w:b/>
      <w:sz w:val="22"/>
    </w:rPr>
  </w:style>
  <w:style w:type="character" w:styleId="ListLabel11">
    <w:name w:val="ListLabel 11"/>
    <w:qFormat/>
    <w:rPr>
      <w:rFonts w:cs="Courier New"/>
    </w:rPr>
  </w:style>
  <w:style w:type="character" w:styleId="ListLabel12">
    <w:name w:val="ListLabel 12"/>
    <w:qFormat/>
    <w:rPr>
      <w:rFonts w:cs="Wingdings"/>
    </w:rPr>
  </w:style>
  <w:style w:type="paragraph" w:styleId="Heading" w:customStyle="1">
    <w:name w:val="Heading"/>
    <w:basedOn w:val="Normal"/>
    <w:next w:val="TextBody"/>
    <w:qFormat/>
    <w:rsid w:val="002812ec"/>
    <w:pPr>
      <w:keepNext/>
      <w:spacing w:before="240" w:after="120"/>
    </w:pPr>
    <w:rPr>
      <w:rFonts w:ascii="Liberation Sans" w:hAnsi="Liberation Sans" w:eastAsia="Microsoft YaHei" w:cs="Mangal"/>
      <w:sz w:val="28"/>
      <w:szCs w:val="28"/>
    </w:rPr>
  </w:style>
  <w:style w:type="paragraph" w:styleId="TextBody" w:customStyle="1">
    <w:name w:val="Text Body"/>
    <w:basedOn w:val="Normal"/>
    <w:rsid w:val="002812ec"/>
    <w:pPr>
      <w:spacing w:lineRule="auto" w:line="288" w:before="0" w:after="140"/>
    </w:pPr>
    <w:rPr/>
  </w:style>
  <w:style w:type="paragraph" w:styleId="List">
    <w:name w:val="List"/>
    <w:basedOn w:val="TextBody"/>
    <w:rsid w:val="002812ec"/>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customStyle="1">
    <w:name w:val="Index"/>
    <w:basedOn w:val="Normal"/>
    <w:qFormat/>
    <w:rsid w:val="002812ec"/>
    <w:pPr>
      <w:suppressLineNumbers/>
    </w:pPr>
    <w:rPr>
      <w:rFonts w:cs="Mangal"/>
    </w:rPr>
  </w:style>
  <w:style w:type="paragraph" w:styleId="Caption1">
    <w:name w:val="caption"/>
    <w:basedOn w:val="Normal"/>
    <w:next w:val="Normal"/>
    <w:uiPriority w:val="35"/>
    <w:unhideWhenUsed/>
    <w:qFormat/>
    <w:rsid w:val="002332c1"/>
    <w:pPr/>
    <w:rPr>
      <w:b/>
      <w:bCs/>
      <w:caps/>
      <w:sz w:val="16"/>
      <w:szCs w:val="18"/>
    </w:rPr>
  </w:style>
  <w:style w:type="paragraph" w:styleId="Title">
    <w:name w:val="Title"/>
    <w:basedOn w:val="Normal"/>
    <w:next w:val="Normal"/>
    <w:link w:val="TitleChar"/>
    <w:uiPriority w:val="10"/>
    <w:qFormat/>
    <w:rsid w:val="002332c1"/>
    <w:pPr>
      <w:pBdr>
        <w:top w:val="single" w:sz="12" w:space="1" w:color="C0504D"/>
      </w:pBdr>
      <w:spacing w:lineRule="auto" w:line="240"/>
      <w:jc w:val="right"/>
    </w:pPr>
    <w:rPr>
      <w:rFonts w:eastAsia="" w:cs="" w:cstheme="majorBidi" w:eastAsiaTheme="majorEastAsia"/>
      <w:smallCaps/>
      <w:sz w:val="48"/>
      <w:szCs w:val="48"/>
      <w:lang w:bidi="ar-SA"/>
    </w:rPr>
  </w:style>
  <w:style w:type="paragraph" w:styleId="Subtitle">
    <w:name w:val="Subtitle"/>
    <w:basedOn w:val="Normal"/>
    <w:next w:val="Normal"/>
    <w:link w:val="SubtitleChar"/>
    <w:uiPriority w:val="11"/>
    <w:qFormat/>
    <w:rsid w:val="002332c1"/>
    <w:pPr>
      <w:spacing w:lineRule="auto" w:line="240" w:before="0" w:after="720"/>
      <w:jc w:val="right"/>
    </w:pPr>
    <w:rPr>
      <w:rFonts w:ascii="Cambria" w:hAnsi="Cambria" w:eastAsia="" w:cs="" w:cstheme="majorBidi" w:eastAsiaTheme="majorEastAsia"/>
      <w:szCs w:val="22"/>
      <w:lang w:bidi="ar-SA"/>
    </w:rPr>
  </w:style>
  <w:style w:type="paragraph" w:styleId="NoSpacing">
    <w:name w:val="No Spacing"/>
    <w:basedOn w:val="Normal"/>
    <w:link w:val="NoSpacingChar"/>
    <w:uiPriority w:val="1"/>
    <w:qFormat/>
    <w:rsid w:val="002332c1"/>
    <w:pPr>
      <w:spacing w:lineRule="auto" w:line="240" w:before="0" w:after="0"/>
    </w:pPr>
    <w:rPr>
      <w:rFonts w:eastAsia="" w:eastAsiaTheme="minorEastAsia"/>
    </w:rPr>
  </w:style>
  <w:style w:type="paragraph" w:styleId="ListParagraph">
    <w:name w:val="List Paragraph"/>
    <w:basedOn w:val="Normal"/>
    <w:link w:val="ListParagraphChar"/>
    <w:qFormat/>
    <w:rsid w:val="002332c1"/>
    <w:pPr>
      <w:spacing w:before="0" w:after="200"/>
      <w:ind w:left="720" w:hanging="0"/>
      <w:contextualSpacing/>
    </w:pPr>
    <w:rPr/>
  </w:style>
  <w:style w:type="paragraph" w:styleId="Quote">
    <w:name w:val="Quote"/>
    <w:basedOn w:val="Normal"/>
    <w:next w:val="Normal"/>
    <w:link w:val="QuoteChar"/>
    <w:uiPriority w:val="29"/>
    <w:qFormat/>
    <w:rsid w:val="002332c1"/>
    <w:pPr/>
    <w:rPr>
      <w:rFonts w:eastAsia="Calibri"/>
      <w:i/>
      <w:lang w:bidi="ar-SA"/>
    </w:rPr>
  </w:style>
  <w:style w:type="paragraph" w:styleId="IntenseQuote">
    <w:name w:val="Intense Quote"/>
    <w:basedOn w:val="Normal"/>
    <w:next w:val="Normal"/>
    <w:link w:val="IntenseQuoteChar"/>
    <w:uiPriority w:val="30"/>
    <w:qFormat/>
    <w:rsid w:val="002332c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hanging="0"/>
    </w:pPr>
    <w:rPr>
      <w:b/>
      <w:i/>
      <w:color w:val="FFFFFF"/>
      <w:lang w:bidi="ar-SA"/>
    </w:rPr>
  </w:style>
  <w:style w:type="paragraph" w:styleId="ContentsHeading" w:customStyle="1">
    <w:name w:val="Contents Heading"/>
    <w:basedOn w:val="Heading1"/>
    <w:next w:val="Normal"/>
    <w:uiPriority w:val="39"/>
    <w:unhideWhenUsed/>
    <w:qFormat/>
    <w:rsid w:val="002332c1"/>
    <w:pPr/>
    <w:rPr>
      <w:rFonts w:eastAsia="" w:cs="" w:cstheme="majorBidi" w:eastAsiaTheme="majorEastAsia"/>
      <w:lang w:bidi="en-US"/>
    </w:rPr>
  </w:style>
  <w:style w:type="paragraph" w:styleId="Footnotetext">
    <w:name w:val="footnote text"/>
    <w:basedOn w:val="Normal"/>
    <w:link w:val="FootnoteTextChar"/>
    <w:uiPriority w:val="99"/>
    <w:unhideWhenUsed/>
    <w:qFormat/>
    <w:rsid w:val="00d602b4"/>
    <w:pPr>
      <w:spacing w:lineRule="auto" w:line="240" w:before="0" w:after="0"/>
    </w:pPr>
    <w:rPr/>
  </w:style>
  <w:style w:type="paragraph" w:styleId="Footnote" w:customStyle="1">
    <w:name w:val="Footnote"/>
    <w:basedOn w:val="Normal"/>
    <w:rsid w:val="00d602b4"/>
    <w:pPr/>
    <w:rPr/>
  </w:style>
  <w:style w:type="paragraph" w:styleId="Header">
    <w:name w:val="Header"/>
    <w:basedOn w:val="Normal"/>
    <w:link w:val="HeaderChar"/>
    <w:uiPriority w:val="99"/>
    <w:unhideWhenUsed/>
    <w:rsid w:val="00cd33bd"/>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cd33bd"/>
    <w:pPr>
      <w:tabs>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684f44"/>
    <w:pPr>
      <w:spacing w:lineRule="auto" w:line="240" w:before="0" w:after="0"/>
    </w:pPr>
    <w:rPr>
      <w:rFonts w:ascii="Tahoma" w:hAnsi="Tahoma" w:cs="Tahoma"/>
      <w:sz w:val="16"/>
      <w:szCs w:val="16"/>
    </w:rPr>
  </w:style>
  <w:style w:type="paragraph" w:styleId="TableContents" w:customStyle="1">
    <w:name w:val="Table Contents"/>
    <w:basedOn w:val="Normal"/>
    <w:qFormat/>
    <w:rsid w:val="005a6025"/>
    <w:pPr/>
    <w:rPr/>
  </w:style>
  <w:style w:type="paragraph" w:styleId="Default" w:customStyle="1">
    <w:name w:val="Default"/>
    <w:qFormat/>
    <w:rsid w:val="008844e0"/>
    <w:pPr>
      <w:widowControl/>
      <w:suppressAutoHyphens w:val="true"/>
      <w:bidi w:val="0"/>
      <w:spacing w:lineRule="auto" w:line="240"/>
      <w:jc w:val="left"/>
    </w:pPr>
    <w:rPr>
      <w:rFonts w:ascii="Trebuchet MS" w:hAnsi="Trebuchet MS" w:eastAsia="SimSun;宋体" w:cs="Trebuchet MS"/>
      <w:color w:val="000000"/>
      <w:sz w:val="24"/>
      <w:szCs w:val="24"/>
      <w:lang w:val="ro-RO" w:eastAsia="zh-CN" w:bidi="hi-IN"/>
    </w:rPr>
  </w:style>
  <w:style w:type="numbering" w:styleId="NoList" w:default="1">
    <w:name w:val="No Lis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59"/>
    <w:rsid w:val="0039298d"/>
    <w:pPr>
      <w:spacing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MediumShading2-Accent4">
    <w:name w:val="Medium Shading 2 Accent 4"/>
    <w:basedOn w:val="TableNormal"/>
    <w:uiPriority w:val="64"/>
    <w:rsid w:val="00f160e0"/>
    <w:pPr>
      <w:spacing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6B9789-1EFD-4448-A30A-DDC9A5C06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Application>LibreOffice/4.4.2.2$Windows_x86 LibreOffice_project/c4c7d32d0d49397cad38d62472b0bc8acff48dd6</Application>
  <Paragraphs>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2016-04-25T22:12:00Z</dcterms:created>
  <dc:creator>Roxana</dc:creator>
  <dc:language>ro-RO</dc:language>
  <cp:lastPrinted>2016-04-26T19:41:00Z</cp:lastPrinted>
  <dcterms:modified xsi:type="dcterms:W3CDTF">2016-06-02T07:42:12Z</dcterms:modified>
  <cp:revision>34</cp:revision>
  <dc:title>Grupul de acțiune locală sudul gorjului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