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E9" w:rsidRPr="0080504B" w:rsidRDefault="005426B1" w:rsidP="006151EB">
      <w:pPr>
        <w:spacing w:after="0"/>
        <w:jc w:val="center"/>
        <w:rPr>
          <w:rFonts w:ascii="Trebuchet MS" w:hAnsi="Trebuchet MS"/>
          <w:b/>
          <w:imprint/>
          <w:color w:val="7030A0"/>
          <w:sz w:val="22"/>
          <w:szCs w:val="22"/>
          <w:lang w:val="ro-RO"/>
        </w:rPr>
      </w:pPr>
      <w:r w:rsidRPr="0080504B">
        <w:rPr>
          <w:rFonts w:ascii="Trebuchet MS" w:hAnsi="Trebuchet MS"/>
          <w:b/>
          <w:imprint/>
          <w:color w:val="7030A0"/>
          <w:sz w:val="22"/>
          <w:szCs w:val="22"/>
          <w:lang w:val="ro-RO"/>
        </w:rPr>
        <w:t>CAPITOLUL VI. DESCRIEREA COMPLEMENTARITĂȚII ȘI/SAU CONTRIBUȚIEI LA OBIECTIVELE ALTOR STRATEGII RELEVANTE (NAȚIONALE, SECTORIALE, REGIONALE, JUDEȚENE ETC.)</w:t>
      </w:r>
    </w:p>
    <w:p w:rsidR="00F87AB9" w:rsidRPr="0080504B" w:rsidRDefault="00F87AB9" w:rsidP="006151EB">
      <w:pPr>
        <w:spacing w:after="0"/>
        <w:jc w:val="center"/>
        <w:rPr>
          <w:rFonts w:ascii="Trebuchet MS" w:hAnsi="Trebuchet MS"/>
          <w:sz w:val="22"/>
          <w:szCs w:val="22"/>
        </w:rPr>
      </w:pPr>
    </w:p>
    <w:p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Prin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intermediul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obiectivelor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priorităţilor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domeniilor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intervenție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şi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măsurilor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stabilite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, SDL a </w:t>
      </w:r>
      <w:r w:rsidRPr="0080504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Grupului de Acțiune Locală </w:t>
      </w:r>
      <w:bookmarkStart w:id="0" w:name="__DdeLink__22473_6261665614625"/>
      <w:r w:rsidRPr="0080504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S</w:t>
      </w:r>
      <w:bookmarkEnd w:id="0"/>
      <w:r w:rsidRPr="0080504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udul Gorjului</w:t>
      </w:r>
      <w:r w:rsidRPr="0080504B">
        <w:rPr>
          <w:rFonts w:ascii="Trebuchet MS" w:hAnsi="Trebuchet MS" w:cs="Trebuchet MS"/>
          <w:bCs/>
          <w:iCs/>
          <w:color w:val="000000"/>
          <w:sz w:val="22"/>
          <w:szCs w:val="22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asigură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corespondenţa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alte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strategii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>:</w:t>
      </w:r>
    </w:p>
    <w:p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Strategia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Națională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pentru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Durabilă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României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Orizonturi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2013-2020-2030</w:t>
      </w:r>
      <w:r w:rsidRPr="0080504B">
        <w:rPr>
          <w:rStyle w:val="FootnoteAnchor"/>
          <w:rFonts w:ascii="Trebuchet MS" w:hAnsi="Trebuchet MS"/>
          <w:b/>
          <w:bCs/>
          <w:sz w:val="22"/>
          <w:szCs w:val="22"/>
        </w:rPr>
        <w:footnoteReference w:id="1"/>
      </w:r>
    </w:p>
    <w:p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Primul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nivel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corespondență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analizat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este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cel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Cs/>
          <w:sz w:val="22"/>
          <w:szCs w:val="22"/>
        </w:rPr>
        <w:t>național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iCs/>
          <w:sz w:val="22"/>
          <w:szCs w:val="22"/>
        </w:rPr>
        <w:t>fiind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Cs/>
          <w:sz w:val="22"/>
          <w:szCs w:val="22"/>
        </w:rPr>
        <w:t>identificate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Cs/>
          <w:sz w:val="22"/>
          <w:szCs w:val="22"/>
        </w:rPr>
        <w:t>corelații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iCs/>
          <w:sz w:val="22"/>
          <w:szCs w:val="22"/>
        </w:rPr>
        <w:t>obiectivele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 SNDD RO2013-2020-2030, </w:t>
      </w:r>
      <w:proofErr w:type="spellStart"/>
      <w:r w:rsidRPr="0080504B">
        <w:rPr>
          <w:rFonts w:ascii="Trebuchet MS" w:hAnsi="Trebuchet MS"/>
          <w:iCs/>
          <w:sz w:val="22"/>
          <w:szCs w:val="22"/>
        </w:rPr>
        <w:t>mai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 exact cu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obiectivul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național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2020 „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Consolidarea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structurilor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din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domeniul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agro-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alimentar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silvic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concomitent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dezvoltarea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economică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socială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zonelor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rurale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pentru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reducerea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decalajelor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atingerea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nivelului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mediu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actual de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performanță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al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țărilor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membre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ale UE.”</w:t>
      </w:r>
    </w:p>
    <w:p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iCs/>
          <w:sz w:val="22"/>
          <w:szCs w:val="22"/>
        </w:rPr>
        <w:t>Planul</w:t>
      </w:r>
      <w:proofErr w:type="spellEnd"/>
      <w:r w:rsidRPr="0080504B">
        <w:rPr>
          <w:rFonts w:ascii="Trebuchet MS" w:hAnsi="Trebuchet MS"/>
          <w:b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Cs/>
          <w:sz w:val="22"/>
          <w:szCs w:val="22"/>
        </w:rPr>
        <w:t>Național</w:t>
      </w:r>
      <w:proofErr w:type="spellEnd"/>
      <w:r w:rsidRPr="0080504B">
        <w:rPr>
          <w:rFonts w:ascii="Trebuchet MS" w:hAnsi="Trebuchet MS"/>
          <w:b/>
          <w:bCs/>
          <w:i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iCs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b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Cs/>
          <w:sz w:val="22"/>
          <w:szCs w:val="22"/>
        </w:rPr>
        <w:t>Rurală</w:t>
      </w:r>
      <w:proofErr w:type="spellEnd"/>
      <w:r w:rsidRPr="0080504B">
        <w:rPr>
          <w:rFonts w:ascii="Trebuchet MS" w:hAnsi="Trebuchet MS"/>
          <w:b/>
          <w:bCs/>
          <w:iCs/>
          <w:sz w:val="22"/>
          <w:szCs w:val="22"/>
        </w:rPr>
        <w:t xml:space="preserve"> (PNDR) 2014-2020</w:t>
      </w:r>
    </w:p>
    <w:p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sz w:val="22"/>
          <w:szCs w:val="22"/>
          <w:shd w:val="clear" w:color="auto" w:fill="FFFFFF"/>
        </w:rPr>
        <w:t>Strategia</w:t>
      </w:r>
      <w:proofErr w:type="spellEnd"/>
      <w:r w:rsidRPr="0080504B">
        <w:rPr>
          <w:rFonts w:ascii="Trebuchet MS" w:hAnsi="Trebuchet MS"/>
          <w:sz w:val="22"/>
          <w:szCs w:val="22"/>
          <w:shd w:val="clear" w:color="auto" w:fill="FFFFFF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  <w:shd w:val="clear" w:color="auto" w:fill="FFFFFF"/>
        </w:rPr>
        <w:t>Dezvoltare</w:t>
      </w:r>
      <w:proofErr w:type="spellEnd"/>
      <w:r w:rsidRPr="0080504B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r w:rsidR="006151EB" w:rsidRPr="0080504B">
        <w:rPr>
          <w:rFonts w:ascii="Trebuchet MS" w:hAnsi="Trebuchet MS"/>
          <w:sz w:val="22"/>
          <w:szCs w:val="22"/>
          <w:shd w:val="clear" w:color="auto" w:fill="FFFFFF"/>
        </w:rPr>
        <w:t>Local</w:t>
      </w:r>
      <w:r w:rsidR="006151EB" w:rsidRPr="0080504B">
        <w:rPr>
          <w:rFonts w:ascii="Trebuchet MS" w:hAnsi="Trebuchet MS"/>
          <w:sz w:val="22"/>
          <w:szCs w:val="22"/>
          <w:shd w:val="clear" w:color="auto" w:fill="FFFFFF"/>
          <w:lang w:val="ro-RO"/>
        </w:rPr>
        <w:t>ă</w:t>
      </w:r>
      <w:r w:rsidRPr="0080504B">
        <w:rPr>
          <w:rFonts w:ascii="Trebuchet MS" w:hAnsi="Trebuchet MS" w:cs="Trebuchet MS"/>
          <w:b/>
          <w:bCs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prin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măsurile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propuse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proofErr w:type="gram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este</w:t>
      </w:r>
      <w:proofErr w:type="spellEnd"/>
      <w:proofErr w:type="gram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complementară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cu PNDR 2014-2020,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în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sensul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vizează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dezvoltarea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durabilă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a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spațiului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rural din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teritoriu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.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Pe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de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altă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parte, </w:t>
      </w:r>
      <w:proofErr w:type="spellStart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demarcarea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operațiunilor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propuse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în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cadrul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SDL de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cele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aferente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PNDR 2014-2020,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constă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în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faptul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acestea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au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fost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stabilite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în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concordanță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cu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specificul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local al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teritoriului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, cu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prioritizarea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celor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care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răspund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necesităților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specifice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identificate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.</w:t>
      </w:r>
    </w:p>
    <w:p w:rsidR="005224E9" w:rsidRPr="0080504B" w:rsidRDefault="005426B1" w:rsidP="006151EB">
      <w:pPr>
        <w:shd w:val="clear" w:color="auto" w:fill="E5DFEC" w:themeFill="accent4" w:themeFillTint="33"/>
        <w:tabs>
          <w:tab w:val="left" w:pos="284"/>
        </w:tabs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Programul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pentru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Dezvoltarea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Clasei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Mijloc</w:t>
      </w:r>
      <w:proofErr w:type="spellEnd"/>
      <w:r w:rsidRPr="0080504B">
        <w:rPr>
          <w:rStyle w:val="FootnoteAnchor"/>
          <w:rFonts w:ascii="Trebuchet MS" w:hAnsi="Trebuchet MS"/>
          <w:b/>
          <w:bCs/>
          <w:sz w:val="22"/>
          <w:szCs w:val="22"/>
        </w:rPr>
        <w:footnoteReference w:id="2"/>
      </w:r>
    </w:p>
    <w:p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sz w:val="22"/>
          <w:szCs w:val="22"/>
        </w:rPr>
        <w:t>Măsurile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propuse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cadrul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SDL </w:t>
      </w:r>
      <w:proofErr w:type="spellStart"/>
      <w:r w:rsidRPr="0080504B">
        <w:rPr>
          <w:rFonts w:ascii="Trebuchet MS" w:hAnsi="Trebuchet MS"/>
          <w:sz w:val="22"/>
          <w:szCs w:val="22"/>
        </w:rPr>
        <w:t>sunt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complementare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direcțiile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strategice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propuse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Pachetul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„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Clasa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mijloc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la sate”</w:t>
      </w:r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ce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vizează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creșterea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accesibilității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micilor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fermieri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micilor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întreprinzători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80504B">
        <w:rPr>
          <w:rFonts w:ascii="Trebuchet MS" w:hAnsi="Trebuchet MS"/>
          <w:sz w:val="22"/>
          <w:szCs w:val="22"/>
        </w:rPr>
        <w:t>Planul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Național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Rurală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reducerea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vârstei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medii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fermierilor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activi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îmbunătățirea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managementului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transferul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intergenerațional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facilitarea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comasării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terenurilor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favoarea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altor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membri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comunității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modernizarea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producției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orientarea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spre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piețele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desfacere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la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orașe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folosirea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potențialului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cultural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natural al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zonelor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protejate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păstrarea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rolului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motor al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comunității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rurale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ceea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privește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GAL-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urile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.  </w:t>
      </w:r>
    </w:p>
    <w:p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Strategia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Națională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Competitivitate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2014-2020</w:t>
      </w:r>
      <w:r w:rsidRPr="0080504B">
        <w:rPr>
          <w:rStyle w:val="FootnoteAnchor"/>
          <w:rFonts w:ascii="Trebuchet MS" w:hAnsi="Trebuchet MS" w:cs="Arial"/>
          <w:b/>
          <w:bCs/>
          <w:color w:val="000000"/>
          <w:sz w:val="22"/>
          <w:szCs w:val="22"/>
        </w:rPr>
        <w:footnoteReference w:id="3"/>
      </w:r>
    </w:p>
    <w:p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80504B">
        <w:rPr>
          <w:rFonts w:ascii="Trebuchet MS" w:hAnsi="Trebuchet MS"/>
          <w:b/>
          <w:bCs/>
          <w:sz w:val="22"/>
          <w:szCs w:val="22"/>
        </w:rPr>
        <w:t>Măsura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3.1.</w:t>
      </w:r>
      <w:proofErr w:type="gram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proofErr w:type="gramStart"/>
      <w:r w:rsidRPr="0080504B">
        <w:rPr>
          <w:rFonts w:ascii="Trebuchet MS" w:hAnsi="Trebuchet MS"/>
          <w:color w:val="000000"/>
          <w:sz w:val="22"/>
          <w:szCs w:val="22"/>
        </w:rPr>
        <w:t>este</w:t>
      </w:r>
      <w:proofErr w:type="spellEnd"/>
      <w:proofErr w:type="gram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complementară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priorităție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Strategiei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Naționale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Competitivitate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2014-2020,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întrucât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are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vederea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promovarea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sectoarelor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identificate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către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aceasta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ca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fiind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„</w:t>
      </w:r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 xml:space="preserve">cu </w:t>
      </w:r>
      <w:proofErr w:type="spellStart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>potențial</w:t>
      </w:r>
      <w:proofErr w:type="spellEnd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>specializate</w:t>
      </w:r>
      <w:proofErr w:type="spellEnd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>inteligentă</w:t>
      </w:r>
      <w:proofErr w:type="spellEnd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>.</w:t>
      </w:r>
      <w:r w:rsidRPr="0080504B">
        <w:rPr>
          <w:rFonts w:ascii="Trebuchet MS" w:hAnsi="Trebuchet MS"/>
          <w:color w:val="000000"/>
          <w:sz w:val="22"/>
          <w:szCs w:val="22"/>
        </w:rPr>
        <w:t>”</w:t>
      </w:r>
    </w:p>
    <w:p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Strategia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Guvernului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României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Incluziune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cetățenilor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români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aparținând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minorității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rome</w:t>
      </w:r>
      <w:proofErr w:type="spellEnd"/>
      <w:proofErr w:type="gram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pentru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perioada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2014-2020</w:t>
      </w:r>
      <w:r w:rsidRPr="0080504B">
        <w:rPr>
          <w:rStyle w:val="FootnoteAnchor"/>
          <w:rFonts w:ascii="Trebuchet MS" w:hAnsi="Trebuchet MS" w:cs="Arial"/>
          <w:b/>
          <w:bCs/>
          <w:color w:val="000000"/>
          <w:sz w:val="22"/>
          <w:szCs w:val="22"/>
        </w:rPr>
        <w:footnoteReference w:id="4"/>
      </w:r>
    </w:p>
    <w:p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80504B">
        <w:rPr>
          <w:rFonts w:ascii="Trebuchet MS" w:hAnsi="Trebuchet MS"/>
          <w:b/>
          <w:bCs/>
          <w:sz w:val="22"/>
          <w:szCs w:val="22"/>
          <w:shd w:val="clear" w:color="auto" w:fill="FFFFFF"/>
        </w:rPr>
        <w:lastRenderedPageBreak/>
        <w:t>Măsura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  <w:shd w:val="clear" w:color="auto" w:fill="FFFFFF"/>
        </w:rPr>
        <w:t xml:space="preserve"> 3.3.</w:t>
      </w:r>
      <w:proofErr w:type="gramEnd"/>
      <w:r w:rsidRPr="0080504B">
        <w:rPr>
          <w:rFonts w:ascii="Trebuchet MS" w:hAnsi="Trebuchet MS"/>
          <w:b/>
          <w:bCs/>
          <w:i/>
          <w:iCs/>
          <w:color w:val="80808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prin</w:t>
      </w:r>
      <w:proofErr w:type="spellEnd"/>
      <w:proofErr w:type="gram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obiectivele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stabilite</w:t>
      </w:r>
      <w:proofErr w:type="spellEnd"/>
      <w:r w:rsidRPr="0080504B">
        <w:rPr>
          <w:rFonts w:ascii="Trebuchet MS" w:hAnsi="Trebuchet MS"/>
          <w:color w:val="80808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este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complementară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cu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scopul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obiectivele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acestei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strategii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ce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urmărește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realizarea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incluziunii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socio-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economice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minorității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rome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.</w:t>
      </w:r>
    </w:p>
    <w:p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Programul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Operational Capital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Uman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– POCU</w:t>
      </w:r>
      <w:r w:rsidRPr="0080504B">
        <w:rPr>
          <w:rStyle w:val="FootnoteAnchor"/>
          <w:rFonts w:ascii="Trebuchet MS" w:hAnsi="Trebuchet MS"/>
          <w:b/>
          <w:bCs/>
          <w:sz w:val="22"/>
          <w:szCs w:val="22"/>
        </w:rPr>
        <w:footnoteReference w:id="5"/>
      </w:r>
    </w:p>
    <w:p w:rsidR="005224E9" w:rsidRPr="0080504B" w:rsidRDefault="005426B1" w:rsidP="006151EB">
      <w:pPr>
        <w:pStyle w:val="TableContents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Măsura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1</w:t>
      </w:r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vizează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operațiuni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domeniul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formării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profesionale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transferului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cunoștințe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fiind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astfel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complementară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obiectivele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POCU de </w:t>
      </w:r>
      <w:proofErr w:type="spellStart"/>
      <w:r w:rsidRPr="0080504B">
        <w:rPr>
          <w:rFonts w:ascii="Trebuchet MS" w:hAnsi="Trebuchet MS"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capitalului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uman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creșterea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competitivității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prin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corelarea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educației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învățării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tot </w:t>
      </w:r>
      <w:proofErr w:type="spellStart"/>
      <w:r w:rsidRPr="0080504B">
        <w:rPr>
          <w:rFonts w:ascii="Trebuchet MS" w:hAnsi="Trebuchet MS"/>
          <w:sz w:val="22"/>
          <w:szCs w:val="22"/>
        </w:rPr>
        <w:t>parcursul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vieții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piața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muncii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asigurarea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oportunități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sporite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pentru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participarea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viitoare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80504B">
        <w:rPr>
          <w:rFonts w:ascii="Trebuchet MS" w:hAnsi="Trebuchet MS"/>
          <w:sz w:val="22"/>
          <w:szCs w:val="22"/>
        </w:rPr>
        <w:t>piață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muncii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modernă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flexibilă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inclusivă</w:t>
      </w:r>
      <w:proofErr w:type="spellEnd"/>
      <w:r w:rsidRPr="0080504B">
        <w:rPr>
          <w:rFonts w:ascii="Trebuchet MS" w:hAnsi="Trebuchet MS"/>
          <w:sz w:val="22"/>
          <w:szCs w:val="22"/>
        </w:rPr>
        <w:t>.</w:t>
      </w:r>
    </w:p>
    <w:p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80504B">
        <w:rPr>
          <w:rFonts w:ascii="Trebuchet MS" w:hAnsi="Trebuchet MS"/>
          <w:sz w:val="22"/>
          <w:szCs w:val="22"/>
        </w:rPr>
        <w:t xml:space="preserve">De </w:t>
      </w:r>
      <w:proofErr w:type="spellStart"/>
      <w:r w:rsidRPr="0080504B">
        <w:rPr>
          <w:rFonts w:ascii="Trebuchet MS" w:hAnsi="Trebuchet MS"/>
          <w:sz w:val="22"/>
          <w:szCs w:val="22"/>
        </w:rPr>
        <w:t>asemenea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complementaritatea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POCU </w:t>
      </w:r>
      <w:proofErr w:type="spellStart"/>
      <w:r w:rsidRPr="0080504B">
        <w:rPr>
          <w:rFonts w:ascii="Trebuchet MS" w:hAnsi="Trebuchet MS"/>
          <w:sz w:val="22"/>
          <w:szCs w:val="22"/>
        </w:rPr>
        <w:t>rezultă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80504B">
        <w:rPr>
          <w:rFonts w:ascii="Trebuchet MS" w:hAnsi="Trebuchet MS"/>
          <w:sz w:val="22"/>
          <w:szCs w:val="22"/>
        </w:rPr>
        <w:t>faptul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măsurile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planificate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fi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implementate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prin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intermediul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Axei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Prioritare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5</w:t>
      </w:r>
      <w:r w:rsidRPr="0080504B">
        <w:rPr>
          <w:rFonts w:ascii="Trebuchet MS" w:hAnsi="Trebuchet MS"/>
          <w:b/>
          <w:bCs/>
          <w:sz w:val="22"/>
          <w:szCs w:val="22"/>
        </w:rPr>
        <w:t xml:space="preserve">: </w:t>
      </w:r>
      <w:proofErr w:type="spellStart"/>
      <w:r w:rsidRPr="0080504B">
        <w:rPr>
          <w:rFonts w:ascii="Trebuchet MS" w:hAnsi="Trebuchet MS"/>
          <w:i/>
          <w:iCs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/>
          <w:iCs/>
          <w:sz w:val="22"/>
          <w:szCs w:val="22"/>
        </w:rPr>
        <w:t>locală</w:t>
      </w:r>
      <w:proofErr w:type="spellEnd"/>
      <w:r w:rsidRPr="0080504B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/>
          <w:iCs/>
          <w:sz w:val="22"/>
          <w:szCs w:val="22"/>
        </w:rPr>
        <w:t>plasată</w:t>
      </w:r>
      <w:proofErr w:type="spellEnd"/>
      <w:r w:rsidRPr="0080504B">
        <w:rPr>
          <w:rFonts w:ascii="Trebuchet MS" w:hAnsi="Trebuchet MS"/>
          <w:i/>
          <w:iCs/>
          <w:sz w:val="22"/>
          <w:szCs w:val="22"/>
        </w:rPr>
        <w:t xml:space="preserve"> sub </w:t>
      </w:r>
      <w:proofErr w:type="spellStart"/>
      <w:r w:rsidRPr="0080504B">
        <w:rPr>
          <w:rFonts w:ascii="Trebuchet MS" w:hAnsi="Trebuchet MS"/>
          <w:i/>
          <w:iCs/>
          <w:sz w:val="22"/>
          <w:szCs w:val="22"/>
        </w:rPr>
        <w:t>responsabilitatea</w:t>
      </w:r>
      <w:proofErr w:type="spellEnd"/>
      <w:r w:rsidRPr="0080504B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/>
          <w:iCs/>
          <w:sz w:val="22"/>
          <w:szCs w:val="22"/>
        </w:rPr>
        <w:t>comunității</w:t>
      </w:r>
      <w:proofErr w:type="spellEnd"/>
      <w:r w:rsidRPr="0080504B">
        <w:rPr>
          <w:rFonts w:ascii="Trebuchet MS" w:hAnsi="Trebuchet MS"/>
          <w:i/>
          <w:iCs/>
          <w:sz w:val="22"/>
          <w:szCs w:val="22"/>
        </w:rPr>
        <w:t xml:space="preserve"> </w:t>
      </w:r>
      <w:r w:rsidRPr="0080504B">
        <w:rPr>
          <w:rFonts w:ascii="Trebuchet MS" w:hAnsi="Trebuchet MS"/>
          <w:sz w:val="22"/>
          <w:szCs w:val="22"/>
        </w:rPr>
        <w:t xml:space="preserve">se </w:t>
      </w:r>
      <w:proofErr w:type="spellStart"/>
      <w:r w:rsidRPr="0080504B">
        <w:rPr>
          <w:rFonts w:ascii="Trebuchet MS" w:hAnsi="Trebuchet MS"/>
          <w:sz w:val="22"/>
          <w:szCs w:val="22"/>
        </w:rPr>
        <w:t>corelează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cele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80504B">
        <w:rPr>
          <w:rFonts w:ascii="Trebuchet MS" w:hAnsi="Trebuchet MS"/>
          <w:sz w:val="22"/>
          <w:szCs w:val="22"/>
        </w:rPr>
        <w:t>cadrul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SDL-</w:t>
      </w:r>
      <w:proofErr w:type="spellStart"/>
      <w:r w:rsidRPr="0080504B">
        <w:rPr>
          <w:rFonts w:ascii="Trebuchet MS" w:hAnsi="Trebuchet MS"/>
          <w:sz w:val="22"/>
          <w:szCs w:val="22"/>
        </w:rPr>
        <w:t>urilor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finanțate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cadrul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80504B">
        <w:rPr>
          <w:rFonts w:ascii="Trebuchet MS" w:hAnsi="Trebuchet MS"/>
          <w:sz w:val="22"/>
          <w:szCs w:val="22"/>
        </w:rPr>
        <w:t>LEADER</w:t>
      </w:r>
      <w:r w:rsidR="006151EB" w:rsidRPr="0080504B">
        <w:rPr>
          <w:rFonts w:ascii="Trebuchet MS" w:hAnsi="Trebuchet MS"/>
          <w:sz w:val="22"/>
          <w:szCs w:val="22"/>
        </w:rPr>
        <w:t xml:space="preserve"> </w:t>
      </w:r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proofErr w:type="gram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vederea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îndeplinirii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obiectivului-țintă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reducere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numărului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persoane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expuse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riscului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sărăcie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excluziune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socială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precum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obiectivelor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domeniul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ocupării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forței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muncă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educației</w:t>
      </w:r>
      <w:proofErr w:type="spellEnd"/>
      <w:r w:rsidRPr="0080504B">
        <w:rPr>
          <w:rFonts w:ascii="Trebuchet MS" w:hAnsi="Trebuchet MS"/>
          <w:sz w:val="22"/>
          <w:szCs w:val="22"/>
        </w:rPr>
        <w:t>.</w:t>
      </w:r>
    </w:p>
    <w:p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Programul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Operational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Sectorial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Cresterea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Competitivitatii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Economice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(POS CCE)</w:t>
      </w:r>
    </w:p>
    <w:p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80504B">
        <w:rPr>
          <w:rFonts w:ascii="Trebuchet MS" w:hAnsi="Trebuchet MS"/>
          <w:b/>
          <w:bCs/>
          <w:sz w:val="22"/>
          <w:szCs w:val="22"/>
        </w:rPr>
        <w:t>Măsura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3.1.</w:t>
      </w:r>
      <w:proofErr w:type="gramEnd"/>
      <w:r w:rsidRPr="0080504B">
        <w:rPr>
          <w:rFonts w:ascii="Trebuchet MS" w:hAnsi="Trebuchet MS"/>
          <w:b/>
          <w:bCs/>
          <w:i/>
          <w:iCs/>
          <w:color w:val="808080"/>
          <w:sz w:val="22"/>
          <w:szCs w:val="22"/>
        </w:rPr>
        <w:t xml:space="preserve"> </w:t>
      </w:r>
      <w:proofErr w:type="spellStart"/>
      <w:proofErr w:type="gramStart"/>
      <w:r w:rsidRPr="0080504B">
        <w:rPr>
          <w:rFonts w:ascii="Trebuchet MS" w:hAnsi="Trebuchet MS"/>
          <w:sz w:val="22"/>
          <w:szCs w:val="22"/>
        </w:rPr>
        <w:t>prin</w:t>
      </w:r>
      <w:proofErr w:type="spellEnd"/>
      <w:proofErr w:type="gramEnd"/>
      <w:r w:rsidRPr="0080504B">
        <w:rPr>
          <w:rFonts w:ascii="Trebuchet MS" w:hAnsi="Trebuchet MS"/>
          <w:b/>
          <w:bCs/>
          <w:color w:val="80808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obiectivele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sale de </w:t>
      </w:r>
      <w:proofErr w:type="spellStart"/>
      <w:r w:rsidRPr="0080504B">
        <w:rPr>
          <w:rFonts w:ascii="Trebuchet MS" w:hAnsi="Trebuchet MS"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întreprinderilor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este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complementară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operațiunile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vizate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POSCCE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programarea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financiară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2014-2020, </w:t>
      </w:r>
      <w:proofErr w:type="spellStart"/>
      <w:r w:rsidRPr="0080504B">
        <w:rPr>
          <w:rFonts w:ascii="Trebuchet MS" w:hAnsi="Trebuchet MS"/>
          <w:sz w:val="22"/>
          <w:szCs w:val="22"/>
        </w:rPr>
        <w:t>ce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vizează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modernizarea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întreprinderilor</w:t>
      </w:r>
      <w:proofErr w:type="spellEnd"/>
      <w:r w:rsidRPr="0080504B">
        <w:rPr>
          <w:rFonts w:ascii="Trebuchet MS" w:hAnsi="Trebuchet MS"/>
          <w:sz w:val="22"/>
          <w:szCs w:val="22"/>
        </w:rPr>
        <w:t>.</w:t>
      </w:r>
    </w:p>
    <w:p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Programul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Operational Regional (POR)</w:t>
      </w:r>
      <w:r w:rsidRPr="0080504B">
        <w:rPr>
          <w:rStyle w:val="FootnoteAnchor"/>
          <w:rFonts w:ascii="Trebuchet MS" w:hAnsi="Trebuchet MS"/>
          <w:b/>
          <w:bCs/>
          <w:sz w:val="22"/>
          <w:szCs w:val="22"/>
        </w:rPr>
        <w:footnoteReference w:id="6"/>
      </w:r>
    </w:p>
    <w:p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80504B">
        <w:rPr>
          <w:rFonts w:ascii="Trebuchet MS" w:hAnsi="Trebuchet MS"/>
          <w:color w:val="000000"/>
          <w:sz w:val="22"/>
          <w:szCs w:val="22"/>
        </w:rPr>
        <w:t xml:space="preserve">POR 2014-2020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propune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creșterea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competitivității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economice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îmbunătăţirea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condițiilor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viață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ale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comunităților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locale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regionale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sprijinirea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dezvoltării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mediului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afaceri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condițiilor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infrastructurale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serviciilor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care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asigure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o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sustenabilă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regiunilor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capabile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gestioneze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mod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eficient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resursele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valorifice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potențialul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inovare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asimilare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progresului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tehnologic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.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măsurile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propuse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obiectivele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SDL </w:t>
      </w:r>
      <w:proofErr w:type="spellStart"/>
      <w:proofErr w:type="gramStart"/>
      <w:r w:rsidRPr="0080504B">
        <w:rPr>
          <w:rFonts w:ascii="Trebuchet MS" w:hAnsi="Trebuchet MS"/>
          <w:color w:val="000000"/>
          <w:sz w:val="22"/>
          <w:szCs w:val="22"/>
        </w:rPr>
        <w:t>devin</w:t>
      </w:r>
      <w:proofErr w:type="spellEnd"/>
      <w:proofErr w:type="gram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complementare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stabilite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către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Programul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Operațional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Regional.</w:t>
      </w:r>
    </w:p>
    <w:p w:rsidR="005224E9" w:rsidRPr="0080504B" w:rsidRDefault="005426B1" w:rsidP="002B2AB3">
      <w:pPr>
        <w:pStyle w:val="TableContents"/>
        <w:shd w:val="clear" w:color="auto" w:fill="E5DFEC" w:themeFill="accent4" w:themeFillTint="33"/>
        <w:spacing w:after="0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Strategia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Durabilă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  <w:u w:val="single"/>
        </w:rPr>
        <w:t>Județului</w:t>
      </w:r>
      <w:proofErr w:type="spellEnd"/>
      <w:r w:rsidRPr="0080504B">
        <w:rPr>
          <w:rFonts w:ascii="Trebuchet MS" w:hAnsi="Trebuchet MS"/>
          <w:b/>
          <w:bCs/>
          <w:sz w:val="22"/>
          <w:szCs w:val="22"/>
          <w:u w:val="single"/>
        </w:rPr>
        <w:t xml:space="preserve"> </w:t>
      </w:r>
      <w:proofErr w:type="spellStart"/>
      <w:r w:rsidR="00F52CA8" w:rsidRPr="0080504B">
        <w:rPr>
          <w:rFonts w:ascii="Trebuchet MS" w:hAnsi="Trebuchet MS"/>
          <w:b/>
          <w:bCs/>
          <w:sz w:val="22"/>
          <w:szCs w:val="22"/>
          <w:u w:val="single"/>
        </w:rPr>
        <w:t>Gorj</w:t>
      </w:r>
      <w:proofErr w:type="spellEnd"/>
    </w:p>
    <w:p w:rsidR="005224E9" w:rsidRPr="0080504B" w:rsidRDefault="005426B1" w:rsidP="002B2AB3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Strategia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  <w:u w:val="single"/>
        </w:rPr>
        <w:t>Județului</w:t>
      </w:r>
      <w:proofErr w:type="spellEnd"/>
      <w:r w:rsidRPr="0080504B">
        <w:rPr>
          <w:rFonts w:ascii="Trebuchet MS" w:hAnsi="Trebuchet MS"/>
          <w:b/>
          <w:bCs/>
          <w:sz w:val="22"/>
          <w:szCs w:val="22"/>
          <w:u w:val="single"/>
        </w:rPr>
        <w:t xml:space="preserve"> </w:t>
      </w:r>
      <w:proofErr w:type="spellStart"/>
      <w:r w:rsidR="00F52CA8" w:rsidRPr="0080504B">
        <w:rPr>
          <w:rFonts w:ascii="Trebuchet MS" w:hAnsi="Trebuchet MS"/>
          <w:b/>
          <w:bCs/>
          <w:sz w:val="22"/>
          <w:szCs w:val="22"/>
          <w:u w:val="single"/>
        </w:rPr>
        <w:t>Mehedin</w:t>
      </w:r>
      <w:proofErr w:type="spellEnd"/>
      <w:r w:rsidR="00F52CA8" w:rsidRPr="0080504B">
        <w:rPr>
          <w:rFonts w:ascii="Trebuchet MS" w:hAnsi="Trebuchet MS"/>
          <w:b/>
          <w:bCs/>
          <w:sz w:val="22"/>
          <w:szCs w:val="22"/>
          <w:u w:val="single"/>
          <w:lang w:val="ro-RO"/>
        </w:rPr>
        <w:t>ți</w:t>
      </w:r>
    </w:p>
    <w:p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80504B">
        <w:rPr>
          <w:rFonts w:ascii="Trebuchet MS" w:hAnsi="Trebuchet MS"/>
          <w:sz w:val="22"/>
          <w:szCs w:val="22"/>
        </w:rPr>
        <w:t xml:space="preserve">La </w:t>
      </w:r>
      <w:proofErr w:type="spellStart"/>
      <w:r w:rsidRPr="0080504B">
        <w:rPr>
          <w:rFonts w:ascii="Trebuchet MS" w:hAnsi="Trebuchet MS"/>
          <w:sz w:val="22"/>
          <w:szCs w:val="22"/>
        </w:rPr>
        <w:t>nivel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județean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SDL se </w:t>
      </w:r>
      <w:proofErr w:type="spellStart"/>
      <w:r w:rsidRPr="0080504B">
        <w:rPr>
          <w:rFonts w:ascii="Trebuchet MS" w:hAnsi="Trebuchet MS"/>
          <w:sz w:val="22"/>
          <w:szCs w:val="22"/>
        </w:rPr>
        <w:t>corelează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cele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două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strategii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județene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întrucât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Pr="0080504B">
        <w:rPr>
          <w:rFonts w:ascii="Trebuchet MS" w:hAnsi="Trebuchet MS"/>
          <w:sz w:val="22"/>
          <w:szCs w:val="22"/>
        </w:rPr>
        <w:t>va</w:t>
      </w:r>
      <w:proofErr w:type="spellEnd"/>
      <w:proofErr w:type="gram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contribui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80504B">
        <w:rPr>
          <w:rFonts w:ascii="Trebuchet MS" w:hAnsi="Trebuchet MS"/>
          <w:sz w:val="22"/>
          <w:szCs w:val="22"/>
        </w:rPr>
        <w:t>atingerea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biectivele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stipulate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cadrul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prin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implementarea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măsurilor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propuse</w:t>
      </w:r>
      <w:proofErr w:type="spellEnd"/>
      <w:r w:rsidRPr="0080504B">
        <w:rPr>
          <w:rFonts w:ascii="Trebuchet MS" w:hAnsi="Trebuchet MS"/>
          <w:sz w:val="22"/>
          <w:szCs w:val="22"/>
        </w:rPr>
        <w:t>.</w:t>
      </w:r>
    </w:p>
    <w:p w:rsidR="005224E9" w:rsidRPr="0080504B" w:rsidRDefault="005426B1" w:rsidP="002B2AB3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Strategii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Dezvoltare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Locală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ale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localităților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partenere</w:t>
      </w:r>
      <w:proofErr w:type="spellEnd"/>
    </w:p>
    <w:p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80504B">
        <w:rPr>
          <w:rFonts w:ascii="Trebuchet MS" w:hAnsi="Trebuchet MS"/>
          <w:sz w:val="22"/>
          <w:szCs w:val="22"/>
        </w:rPr>
        <w:lastRenderedPageBreak/>
        <w:t xml:space="preserve">Din </w:t>
      </w:r>
      <w:proofErr w:type="spellStart"/>
      <w:r w:rsidRPr="0080504B">
        <w:rPr>
          <w:rFonts w:ascii="Trebuchet MS" w:hAnsi="Trebuchet MS"/>
          <w:sz w:val="22"/>
          <w:szCs w:val="22"/>
        </w:rPr>
        <w:t>analiza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nivelului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r w:rsidRPr="0080504B">
        <w:rPr>
          <w:rFonts w:ascii="Trebuchet MS" w:hAnsi="Trebuchet MS"/>
          <w:b/>
          <w:bCs/>
          <w:sz w:val="22"/>
          <w:szCs w:val="22"/>
        </w:rPr>
        <w:t xml:space="preserve">local </w:t>
      </w:r>
      <w:r w:rsidRPr="0080504B">
        <w:rPr>
          <w:rFonts w:ascii="Trebuchet MS" w:hAnsi="Trebuchet MS"/>
          <w:sz w:val="22"/>
          <w:szCs w:val="22"/>
        </w:rPr>
        <w:t xml:space="preserve">de </w:t>
      </w:r>
      <w:proofErr w:type="spellStart"/>
      <w:r w:rsidRPr="0080504B">
        <w:rPr>
          <w:rFonts w:ascii="Trebuchet MS" w:hAnsi="Trebuchet MS"/>
          <w:sz w:val="22"/>
          <w:szCs w:val="22"/>
        </w:rPr>
        <w:t>corespondență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SDL cu </w:t>
      </w:r>
      <w:proofErr w:type="spellStart"/>
      <w:r w:rsidRPr="0080504B">
        <w:rPr>
          <w:rFonts w:ascii="Trebuchet MS" w:hAnsi="Trebuchet MS"/>
          <w:sz w:val="22"/>
          <w:szCs w:val="22"/>
        </w:rPr>
        <w:t>alte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documente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programatice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relevante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au </w:t>
      </w:r>
      <w:proofErr w:type="spellStart"/>
      <w:r w:rsidRPr="0080504B">
        <w:rPr>
          <w:rFonts w:ascii="Trebuchet MS" w:hAnsi="Trebuchet MS"/>
          <w:sz w:val="22"/>
          <w:szCs w:val="22"/>
        </w:rPr>
        <w:t>rezult</w:t>
      </w:r>
      <w:r w:rsidR="006151EB" w:rsidRPr="0080504B">
        <w:rPr>
          <w:rFonts w:ascii="Trebuchet MS" w:hAnsi="Trebuchet MS"/>
          <w:sz w:val="22"/>
          <w:szCs w:val="22"/>
        </w:rPr>
        <w:t>at</w:t>
      </w:r>
      <w:proofErr w:type="spellEnd"/>
      <w:r w:rsidR="006151EB"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151EB" w:rsidRPr="0080504B">
        <w:rPr>
          <w:rFonts w:ascii="Trebuchet MS" w:hAnsi="Trebuchet MS"/>
          <w:sz w:val="22"/>
          <w:szCs w:val="22"/>
        </w:rPr>
        <w:t>corelații</w:t>
      </w:r>
      <w:proofErr w:type="spellEnd"/>
      <w:r w:rsidR="006151EB"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151EB" w:rsidRPr="0080504B">
        <w:rPr>
          <w:rFonts w:ascii="Trebuchet MS" w:hAnsi="Trebuchet MS"/>
          <w:sz w:val="22"/>
          <w:szCs w:val="22"/>
        </w:rPr>
        <w:t>între</w:t>
      </w:r>
      <w:proofErr w:type="spellEnd"/>
      <w:r w:rsidR="006151EB"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151EB" w:rsidRPr="0080504B">
        <w:rPr>
          <w:rFonts w:ascii="Trebuchet MS" w:hAnsi="Trebuchet MS"/>
          <w:sz w:val="22"/>
          <w:szCs w:val="22"/>
        </w:rPr>
        <w:t>obiectivele</w:t>
      </w:r>
      <w:proofErr w:type="spellEnd"/>
      <w:r w:rsidR="006151EB"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624B2" w:rsidRPr="0080504B">
        <w:rPr>
          <w:rFonts w:ascii="Trebuchet MS" w:hAnsi="Trebuchet MS"/>
          <w:sz w:val="22"/>
          <w:szCs w:val="22"/>
        </w:rPr>
        <w:t>strategiei</w:t>
      </w:r>
      <w:proofErr w:type="spellEnd"/>
      <w:r w:rsidR="00F624B2" w:rsidRPr="0080504B">
        <w:rPr>
          <w:rFonts w:ascii="Trebuchet MS" w:hAnsi="Trebuchet MS"/>
          <w:sz w:val="22"/>
          <w:szCs w:val="22"/>
        </w:rPr>
        <w:t xml:space="preserve"> GAL</w:t>
      </w:r>
      <w:r w:rsidR="006151EB"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și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obiectivele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generale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ale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Strategiile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de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Dezvoltare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Locală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ale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celor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r w:rsidR="00F52CA8"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2</w:t>
      </w:r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0</w:t>
      </w:r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unități</w:t>
      </w:r>
      <w:proofErr w:type="spellEnd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administrativ-teritoriale</w:t>
      </w:r>
      <w:proofErr w:type="spellEnd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partenere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care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vizează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dezvoltarea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durabilă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a </w:t>
      </w:r>
      <w:proofErr w:type="spellStart"/>
      <w:r w:rsidR="002B2AB3"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localitățilo</w:t>
      </w:r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r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prin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diversificare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economică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dezvoltarea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unui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sector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agricol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performant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îmbunătățirea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calității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mediului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modernizarea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și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dezvoltarea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insfrastructurii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publice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valorificarea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potențialului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turistic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și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cultural,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dezvoltarea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parteneriatului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public-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privat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.</w:t>
      </w:r>
      <w:r w:rsidRPr="0080504B">
        <w:rPr>
          <w:rFonts w:ascii="Trebuchet MS" w:eastAsia="Calibri" w:hAnsi="Trebuchet MS" w:cs="Calibri"/>
          <w:b/>
          <w:bCs/>
          <w:i/>
          <w:iCs/>
          <w:color w:val="000000"/>
          <w:sz w:val="22"/>
          <w:szCs w:val="22"/>
        </w:rPr>
        <w:t xml:space="preserve"> </w:t>
      </w:r>
    </w:p>
    <w:sectPr w:rsidR="005224E9" w:rsidRPr="0080504B" w:rsidSect="005224E9">
      <w:headerReference w:type="default" r:id="rId7"/>
      <w:footerReference w:type="default" r:id="rId8"/>
      <w:pgSz w:w="12240" w:h="15840"/>
      <w:pgMar w:top="1440" w:right="1440" w:bottom="1440" w:left="1440" w:header="426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00F" w:rsidRDefault="001A100F" w:rsidP="005224E9">
      <w:pPr>
        <w:spacing w:after="0" w:line="240" w:lineRule="auto"/>
      </w:pPr>
      <w:r>
        <w:separator/>
      </w:r>
    </w:p>
  </w:endnote>
  <w:endnote w:type="continuationSeparator" w:id="0">
    <w:p w:rsidR="001A100F" w:rsidRDefault="001A100F" w:rsidP="0052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9041"/>
      <w:gridCol w:w="535"/>
    </w:tblGrid>
    <w:tr w:rsidR="005224E9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:rsidR="005224E9" w:rsidRPr="005B2802" w:rsidRDefault="005426B1">
          <w:pPr>
            <w:pStyle w:val="Footer"/>
            <w:jc w:val="right"/>
            <w:rPr>
              <w:rFonts w:ascii="Trebuchet MS" w:hAnsi="Trebuchet MS"/>
              <w:sz w:val="22"/>
              <w:szCs w:val="22"/>
            </w:rPr>
          </w:pPr>
          <w:proofErr w:type="spellStart"/>
          <w:r w:rsidRPr="005B2802">
            <w:rPr>
              <w:rFonts w:ascii="Trebuchet MS" w:hAnsi="Trebuchet MS"/>
              <w:b/>
              <w:shadow/>
              <w:sz w:val="22"/>
              <w:szCs w:val="22"/>
            </w:rPr>
            <w:t>Capitolul</w:t>
          </w:r>
          <w:proofErr w:type="spellEnd"/>
          <w:r w:rsidRPr="005B2802">
            <w:rPr>
              <w:rFonts w:ascii="Trebuchet MS" w:hAnsi="Trebuchet MS"/>
              <w:b/>
              <w:shadow/>
              <w:sz w:val="22"/>
              <w:szCs w:val="22"/>
            </w:rPr>
            <w:t xml:space="preserve"> </w:t>
          </w:r>
          <w:r w:rsidRPr="005B2802">
            <w:rPr>
              <w:rFonts w:ascii="Trebuchet MS" w:hAnsi="Trebuchet MS"/>
              <w:b/>
              <w:shadow/>
              <w:sz w:val="22"/>
              <w:szCs w:val="22"/>
              <w:lang w:val="ro-RO"/>
            </w:rPr>
            <w:t>V</w:t>
          </w:r>
          <w:r w:rsidRPr="005B2802">
            <w:rPr>
              <w:rFonts w:ascii="Trebuchet MS" w:hAnsi="Trebuchet MS"/>
              <w:b/>
              <w:shadow/>
              <w:sz w:val="22"/>
              <w:szCs w:val="22"/>
            </w:rPr>
            <w:t xml:space="preserve">I: </w:t>
          </w:r>
          <w:r w:rsidRPr="005B2802">
            <w:rPr>
              <w:rFonts w:ascii="Trebuchet MS" w:hAnsi="Trebuchet MS"/>
              <w:b/>
              <w:shadow/>
              <w:sz w:val="22"/>
              <w:szCs w:val="22"/>
              <w:lang w:val="ro-RO"/>
            </w:rPr>
            <w:t xml:space="preserve">Descrierea complementarității și/sau contribuției la obiectivele altor </w:t>
          </w:r>
          <w:proofErr w:type="gramStart"/>
          <w:r w:rsidRPr="005B2802">
            <w:rPr>
              <w:rFonts w:ascii="Trebuchet MS" w:hAnsi="Trebuchet MS"/>
              <w:b/>
              <w:shadow/>
              <w:sz w:val="22"/>
              <w:szCs w:val="22"/>
              <w:lang w:val="ro-RO"/>
            </w:rPr>
            <w:t>strategii  relevante</w:t>
          </w:r>
          <w:proofErr w:type="gramEnd"/>
          <w:r w:rsidRPr="005B2802">
            <w:rPr>
              <w:rFonts w:ascii="Trebuchet MS" w:hAnsi="Trebuchet MS"/>
              <w:b/>
              <w:shadow/>
              <w:sz w:val="22"/>
              <w:szCs w:val="22"/>
              <w:lang w:val="ro-RO"/>
            </w:rPr>
            <w:t xml:space="preserve"> (naționale, sectoriale, regionale, județene etc.)</w:t>
          </w:r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:rsidR="005224E9" w:rsidRPr="005B2802" w:rsidRDefault="00761529">
          <w:pPr>
            <w:pStyle w:val="Footer"/>
            <w:jc w:val="center"/>
            <w:rPr>
              <w:rFonts w:ascii="Trebuchet MS" w:hAnsi="Trebuchet MS"/>
              <w:b/>
              <w:shadow/>
              <w:color w:val="FFFFFF" w:themeColor="background1"/>
              <w:sz w:val="22"/>
              <w:szCs w:val="22"/>
            </w:rPr>
          </w:pPr>
          <w:r w:rsidRPr="005B2802">
            <w:rPr>
              <w:rFonts w:ascii="Trebuchet MS" w:hAnsi="Trebuchet MS"/>
              <w:b/>
              <w:shadow/>
              <w:color w:val="FFFFFF" w:themeColor="background1"/>
              <w:sz w:val="22"/>
              <w:szCs w:val="22"/>
            </w:rPr>
            <w:fldChar w:fldCharType="begin"/>
          </w:r>
          <w:r w:rsidR="005426B1" w:rsidRPr="005B2802">
            <w:rPr>
              <w:rFonts w:ascii="Trebuchet MS" w:hAnsi="Trebuchet MS"/>
              <w:b/>
              <w:shadow/>
              <w:color w:val="FFFFFF" w:themeColor="background1"/>
              <w:sz w:val="22"/>
              <w:szCs w:val="22"/>
            </w:rPr>
            <w:instrText>PAGE</w:instrText>
          </w:r>
          <w:r w:rsidRPr="005B2802">
            <w:rPr>
              <w:rFonts w:ascii="Trebuchet MS" w:hAnsi="Trebuchet MS"/>
              <w:b/>
              <w:shadow/>
              <w:color w:val="FFFFFF" w:themeColor="background1"/>
              <w:sz w:val="22"/>
              <w:szCs w:val="22"/>
            </w:rPr>
            <w:fldChar w:fldCharType="separate"/>
          </w:r>
          <w:r w:rsidR="0080504B">
            <w:rPr>
              <w:rFonts w:ascii="Trebuchet MS" w:hAnsi="Trebuchet MS"/>
              <w:b/>
              <w:shadow/>
              <w:noProof/>
              <w:color w:val="FFFFFF" w:themeColor="background1"/>
              <w:sz w:val="22"/>
              <w:szCs w:val="22"/>
            </w:rPr>
            <w:t>3</w:t>
          </w:r>
          <w:r w:rsidRPr="005B2802">
            <w:rPr>
              <w:rFonts w:ascii="Trebuchet MS" w:hAnsi="Trebuchet MS"/>
              <w:b/>
              <w:shadow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:rsidR="005224E9" w:rsidRDefault="005224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00F" w:rsidRDefault="001A100F"/>
  </w:footnote>
  <w:footnote w:type="continuationSeparator" w:id="0">
    <w:p w:rsidR="001A100F" w:rsidRDefault="001A100F">
      <w:r>
        <w:continuationSeparator/>
      </w:r>
    </w:p>
  </w:footnote>
  <w:footnote w:id="1">
    <w:p w:rsidR="005224E9" w:rsidRDefault="005426B1" w:rsidP="00F87AB9">
      <w:pPr>
        <w:pStyle w:val="Footnote"/>
        <w:spacing w:after="0"/>
        <w:jc w:val="both"/>
      </w:pPr>
      <w:r>
        <w:rPr>
          <w:rFonts w:ascii="Trebuchet MS" w:hAnsi="Trebuchet MS"/>
          <w:sz w:val="22"/>
          <w:szCs w:val="22"/>
        </w:rPr>
        <w:footnoteRef/>
      </w:r>
      <w:r>
        <w:rPr>
          <w:rFonts w:ascii="Trebuchet MS" w:hAnsi="Trebuchet MS"/>
          <w:sz w:val="22"/>
          <w:szCs w:val="22"/>
        </w:rPr>
        <w:tab/>
      </w:r>
      <w:proofErr w:type="spellStart"/>
      <w:r>
        <w:rPr>
          <w:rFonts w:ascii="Trebuchet MS" w:hAnsi="Trebuchet MS"/>
          <w:b/>
          <w:bCs/>
          <w:sz w:val="22"/>
          <w:szCs w:val="22"/>
        </w:rPr>
        <w:t>Obiectiv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1.1.: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Schimbări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climatice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energia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curată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i/>
          <w:iCs/>
          <w:sz w:val="22"/>
          <w:szCs w:val="22"/>
        </w:rPr>
        <w:t>Obiectiv</w:t>
      </w:r>
      <w:proofErr w:type="spellEnd"/>
      <w:r>
        <w:rPr>
          <w:rFonts w:ascii="Trebuchet MS" w:hAnsi="Trebuchet MS"/>
          <w:b/>
          <w:bCs/>
          <w:i/>
          <w:iCs/>
          <w:sz w:val="22"/>
          <w:szCs w:val="22"/>
        </w:rPr>
        <w:t xml:space="preserve"> 1.3.: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Producție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consum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durabile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i/>
          <w:iCs/>
          <w:sz w:val="22"/>
          <w:szCs w:val="22"/>
        </w:rPr>
        <w:t>Obiectiv</w:t>
      </w:r>
      <w:proofErr w:type="spellEnd"/>
      <w:r>
        <w:rPr>
          <w:rFonts w:ascii="Trebuchet MS" w:hAnsi="Trebuchet MS"/>
          <w:b/>
          <w:bCs/>
          <w:i/>
          <w:iCs/>
          <w:sz w:val="22"/>
          <w:szCs w:val="22"/>
        </w:rPr>
        <w:t xml:space="preserve"> 1.6.: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Incluziunea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socială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demografia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migrația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i/>
          <w:iCs/>
          <w:sz w:val="22"/>
          <w:szCs w:val="22"/>
        </w:rPr>
        <w:t>Obiectiv</w:t>
      </w:r>
      <w:proofErr w:type="spellEnd"/>
      <w:r>
        <w:rPr>
          <w:rFonts w:ascii="Trebuchet MS" w:hAnsi="Trebuchet MS"/>
          <w:b/>
          <w:bCs/>
          <w:i/>
          <w:iCs/>
          <w:sz w:val="22"/>
          <w:szCs w:val="22"/>
        </w:rPr>
        <w:t xml:space="preserve"> 1.7.: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Sărăcia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globală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sfidările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dezvoltării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durabile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.    </w:t>
      </w:r>
    </w:p>
  </w:footnote>
  <w:footnote w:id="2">
    <w:p w:rsidR="005224E9" w:rsidRDefault="005426B1" w:rsidP="00F87AB9">
      <w:pPr>
        <w:pStyle w:val="Footnote"/>
        <w:spacing w:after="0"/>
        <w:jc w:val="both"/>
      </w:pPr>
      <w:r>
        <w:rPr>
          <w:rFonts w:ascii="Trebuchet MS" w:hAnsi="Trebuchet MS"/>
          <w:sz w:val="22"/>
          <w:szCs w:val="22"/>
        </w:rPr>
        <w:footnoteRef/>
      </w:r>
      <w:r>
        <w:rPr>
          <w:rFonts w:ascii="Trebuchet MS" w:hAnsi="Trebuchet MS"/>
          <w:sz w:val="22"/>
          <w:szCs w:val="22"/>
        </w:rPr>
        <w:tab/>
      </w:r>
      <w:proofErr w:type="spellStart"/>
      <w:r>
        <w:rPr>
          <w:rFonts w:ascii="Trebuchet MS" w:hAnsi="Trebuchet MS"/>
          <w:b/>
          <w:bCs/>
          <w:sz w:val="22"/>
          <w:szCs w:val="22"/>
        </w:rPr>
        <w:t>Direcția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I</w:t>
      </w:r>
      <w:r>
        <w:rPr>
          <w:rFonts w:ascii="Trebuchet MS" w:hAnsi="Trebuchet MS"/>
          <w:sz w:val="22"/>
          <w:szCs w:val="22"/>
        </w:rPr>
        <w:t xml:space="preserve">: </w:t>
      </w:r>
      <w:r>
        <w:rPr>
          <w:rFonts w:ascii="Trebuchet MS" w:hAnsi="Trebuchet MS"/>
          <w:i/>
          <w:iCs/>
          <w:sz w:val="22"/>
          <w:szCs w:val="22"/>
        </w:rPr>
        <w:t xml:space="preserve">Un Plan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Național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Dezvoltare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Rurală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mai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accesibil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micilor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fermieri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micului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întreprinzător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Direcția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II</w:t>
      </w:r>
      <w:r>
        <w:rPr>
          <w:rFonts w:ascii="Trebuchet MS" w:hAnsi="Trebuchet MS"/>
          <w:sz w:val="22"/>
          <w:szCs w:val="22"/>
        </w:rPr>
        <w:t xml:space="preserve">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Schimbarea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generații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în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agricultură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un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nou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rol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pentru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ferma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familie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Direcția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IV:</w:t>
      </w:r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Investiții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în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mediul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rural;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Direcția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VI: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Dezvoltarea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economiei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rurale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prin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eco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agroturism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Direcția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VII:</w:t>
      </w:r>
      <w:r>
        <w:rPr>
          <w:rFonts w:ascii="Trebuchet MS" w:hAnsi="Trebuchet MS"/>
          <w:i/>
          <w:iCs/>
          <w:sz w:val="22"/>
          <w:szCs w:val="22"/>
        </w:rPr>
        <w:t xml:space="preserve"> O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nouă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misiune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pentru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Grupurile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Acțiune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Locală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.  </w:t>
      </w:r>
    </w:p>
  </w:footnote>
  <w:footnote w:id="3">
    <w:p w:rsidR="005224E9" w:rsidRDefault="005426B1" w:rsidP="00F87AB9">
      <w:pPr>
        <w:pStyle w:val="Footnote"/>
        <w:spacing w:after="0"/>
        <w:jc w:val="both"/>
      </w:pPr>
      <w:r>
        <w:rPr>
          <w:rFonts w:ascii="Trebuchet MS" w:hAnsi="Trebuchet MS"/>
          <w:sz w:val="22"/>
          <w:szCs w:val="22"/>
        </w:rPr>
        <w:footnoteRef/>
      </w:r>
      <w:r>
        <w:rPr>
          <w:rFonts w:ascii="Trebuchet MS" w:hAnsi="Trebuchet MS"/>
          <w:sz w:val="22"/>
          <w:szCs w:val="22"/>
        </w:rPr>
        <w:tab/>
      </w:r>
      <w:proofErr w:type="spellStart"/>
      <w:r>
        <w:rPr>
          <w:rFonts w:ascii="Trebuchet MS" w:hAnsi="Trebuchet MS"/>
          <w:b/>
          <w:bCs/>
          <w:sz w:val="22"/>
          <w:szCs w:val="22"/>
        </w:rPr>
        <w:t>Prioritatea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2:</w:t>
      </w:r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Acțiuni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parteneriale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între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mediul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public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mediul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privat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Prioritatea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4:</w:t>
      </w:r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Promovarea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celor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10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sectoare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viitor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>.</w:t>
      </w:r>
    </w:p>
  </w:footnote>
  <w:footnote w:id="4">
    <w:p w:rsidR="005224E9" w:rsidRDefault="005426B1" w:rsidP="00F87AB9">
      <w:pPr>
        <w:pStyle w:val="Footnote"/>
        <w:spacing w:after="0"/>
        <w:jc w:val="both"/>
      </w:pPr>
      <w:r>
        <w:rPr>
          <w:rFonts w:ascii="Trebuchet MS" w:hAnsi="Trebuchet MS"/>
          <w:sz w:val="22"/>
          <w:szCs w:val="22"/>
        </w:rPr>
        <w:footnoteRef/>
      </w:r>
      <w:r>
        <w:rPr>
          <w:rFonts w:ascii="Trebuchet MS" w:hAnsi="Trebuchet MS"/>
          <w:sz w:val="22"/>
          <w:szCs w:val="22"/>
        </w:rPr>
        <w:tab/>
      </w:r>
      <w:proofErr w:type="spellStart"/>
      <w:r>
        <w:rPr>
          <w:rFonts w:ascii="Trebuchet MS" w:hAnsi="Trebuchet MS"/>
          <w:b/>
          <w:bCs/>
          <w:sz w:val="22"/>
          <w:szCs w:val="22"/>
        </w:rPr>
        <w:t>Obiectivul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1</w:t>
      </w:r>
      <w:r>
        <w:rPr>
          <w:rFonts w:ascii="Trebuchet MS" w:hAnsi="Trebuchet MS"/>
          <w:sz w:val="22"/>
          <w:szCs w:val="22"/>
        </w:rPr>
        <w:t>:</w:t>
      </w:r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Creșterea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nivelului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incluziune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educațională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cetățenilor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români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aparținând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minorității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rome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(...);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Obiectivul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6</w:t>
      </w:r>
      <w:r>
        <w:rPr>
          <w:rFonts w:ascii="Trebuchet MS" w:hAnsi="Trebuchet MS"/>
          <w:sz w:val="22"/>
          <w:szCs w:val="22"/>
        </w:rPr>
        <w:t>:</w:t>
      </w:r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Păstrarea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afirmarea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dezvoltarea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identității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culturale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romilor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</w:p>
  </w:footnote>
  <w:footnote w:id="5">
    <w:p w:rsidR="005224E9" w:rsidRDefault="005426B1" w:rsidP="00F87AB9">
      <w:pPr>
        <w:pStyle w:val="Footnote"/>
        <w:spacing w:after="0"/>
        <w:jc w:val="both"/>
      </w:pPr>
      <w:r>
        <w:rPr>
          <w:rStyle w:val="FootnoteReference"/>
          <w:rFonts w:ascii="Trebuchet MS" w:hAnsi="Trebuchet MS"/>
          <w:sz w:val="22"/>
          <w:szCs w:val="22"/>
        </w:rPr>
        <w:footnoteRef/>
      </w:r>
      <w:r>
        <w:rPr>
          <w:rStyle w:val="FootnoteReference"/>
          <w:rFonts w:ascii="Trebuchet MS" w:hAnsi="Trebuchet MS"/>
          <w:sz w:val="22"/>
          <w:szCs w:val="22"/>
        </w:rPr>
        <w:tab/>
      </w:r>
      <w:r>
        <w:rPr>
          <w:rFonts w:ascii="Trebuchet MS" w:hAnsi="Trebuchet MS" w:cs="F2"/>
          <w:b/>
          <w:bCs/>
          <w:sz w:val="22"/>
          <w:szCs w:val="22"/>
        </w:rPr>
        <w:t xml:space="preserve">AP6: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Educatie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si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competente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>;</w:t>
      </w:r>
      <w:r>
        <w:rPr>
          <w:rFonts w:ascii="Trebuchet MS" w:hAnsi="Trebuchet MS" w:cs="F2"/>
          <w:b/>
          <w:bCs/>
          <w:sz w:val="22"/>
          <w:szCs w:val="22"/>
        </w:rPr>
        <w:t xml:space="preserve"> AP3: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Locuri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munca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pentru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toti</w:t>
      </w:r>
      <w:proofErr w:type="spellEnd"/>
      <w:r>
        <w:rPr>
          <w:rFonts w:ascii="Trebuchet MS" w:hAnsi="Trebuchet MS" w:cs="F2"/>
          <w:b/>
          <w:bCs/>
          <w:sz w:val="22"/>
          <w:szCs w:val="22"/>
        </w:rPr>
        <w:t xml:space="preserve">; AP 4: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Incluziunea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socială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combaterea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sărăciei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; </w:t>
      </w:r>
      <w:r>
        <w:rPr>
          <w:rFonts w:ascii="Trebuchet MS" w:hAnsi="Trebuchet MS" w:cs="F2"/>
          <w:b/>
          <w:bCs/>
          <w:sz w:val="22"/>
          <w:szCs w:val="22"/>
        </w:rPr>
        <w:t xml:space="preserve">AP 5: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Dezvoltare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locală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plasată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sub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responsabilitatea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comunității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. </w:t>
      </w:r>
    </w:p>
  </w:footnote>
  <w:footnote w:id="6">
    <w:p w:rsidR="005224E9" w:rsidRDefault="005426B1" w:rsidP="00F87AB9">
      <w:pPr>
        <w:pStyle w:val="Footnote"/>
        <w:spacing w:after="0"/>
        <w:jc w:val="both"/>
      </w:pPr>
      <w:r>
        <w:rPr>
          <w:rStyle w:val="FootnoteReference"/>
          <w:rFonts w:ascii="Trebuchet MS" w:hAnsi="Trebuchet MS"/>
          <w:b/>
          <w:bCs/>
          <w:sz w:val="22"/>
          <w:szCs w:val="22"/>
        </w:rPr>
        <w:footnoteRef/>
      </w:r>
      <w:r>
        <w:rPr>
          <w:rStyle w:val="FootnoteReference"/>
          <w:rFonts w:ascii="Trebuchet MS" w:hAnsi="Trebuchet MS"/>
          <w:b/>
          <w:bCs/>
          <w:sz w:val="22"/>
          <w:szCs w:val="22"/>
        </w:rPr>
        <w:tab/>
      </w:r>
      <w:r>
        <w:rPr>
          <w:rFonts w:ascii="Trebuchet MS" w:hAnsi="Trebuchet MS" w:cs="F2"/>
          <w:b/>
          <w:bCs/>
          <w:sz w:val="22"/>
          <w:szCs w:val="22"/>
        </w:rPr>
        <w:t xml:space="preserve">AP 2 -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Imbunatatirea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competitivitatii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intreprinderilor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mici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Mijlocii</w:t>
      </w:r>
      <w:proofErr w:type="spellEnd"/>
      <w:r>
        <w:rPr>
          <w:rFonts w:ascii="Trebuchet MS" w:hAnsi="Trebuchet MS" w:cs="F2"/>
          <w:bCs/>
          <w:sz w:val="22"/>
          <w:szCs w:val="22"/>
        </w:rPr>
        <w:t xml:space="preserve">; </w:t>
      </w:r>
      <w:r>
        <w:rPr>
          <w:rFonts w:ascii="Trebuchet MS" w:hAnsi="Trebuchet MS" w:cs="F2"/>
          <w:b/>
          <w:bCs/>
          <w:sz w:val="22"/>
          <w:szCs w:val="22"/>
        </w:rPr>
        <w:t xml:space="preserve">AP 4 -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Sprijinirea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dezvoltarii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urbane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durabile</w:t>
      </w:r>
      <w:proofErr w:type="spellEnd"/>
      <w:r>
        <w:rPr>
          <w:rFonts w:ascii="Trebuchet MS" w:hAnsi="Trebuchet MS" w:cs="F2"/>
          <w:bCs/>
          <w:sz w:val="22"/>
          <w:szCs w:val="22"/>
        </w:rPr>
        <w:t xml:space="preserve">; </w:t>
      </w:r>
      <w:r>
        <w:rPr>
          <w:rFonts w:ascii="Trebuchet MS" w:hAnsi="Trebuchet MS" w:cs="F2"/>
          <w:b/>
          <w:bCs/>
          <w:sz w:val="22"/>
          <w:szCs w:val="22"/>
        </w:rPr>
        <w:t xml:space="preserve">AP 5 -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Conservarea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,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protectia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valorificarea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durabila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a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patrimoniului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cultural</w:t>
      </w:r>
      <w:r>
        <w:rPr>
          <w:rFonts w:ascii="Trebuchet MS" w:hAnsi="Trebuchet MS" w:cs="F2"/>
          <w:bCs/>
          <w:sz w:val="22"/>
          <w:szCs w:val="22"/>
        </w:rPr>
        <w:t xml:space="preserve">; </w:t>
      </w:r>
      <w:r>
        <w:rPr>
          <w:rFonts w:ascii="Trebuchet MS" w:hAnsi="Trebuchet MS" w:cs="F2"/>
          <w:b/>
          <w:bCs/>
          <w:sz w:val="22"/>
          <w:szCs w:val="22"/>
        </w:rPr>
        <w:t xml:space="preserve">AP 7 -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Diversificarea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economiilor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locale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prin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dezvoltarea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durabila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a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turismului</w:t>
      </w:r>
      <w:proofErr w:type="spellEnd"/>
      <w:r>
        <w:rPr>
          <w:rFonts w:ascii="Trebuchet MS" w:hAnsi="Trebuchet MS" w:cs="F2"/>
          <w:bCs/>
          <w:sz w:val="22"/>
          <w:szCs w:val="22"/>
        </w:rPr>
        <w:t xml:space="preserve">; </w:t>
      </w:r>
      <w:r>
        <w:rPr>
          <w:rFonts w:ascii="Trebuchet MS" w:hAnsi="Trebuchet MS" w:cs="F2"/>
          <w:b/>
          <w:bCs/>
          <w:sz w:val="22"/>
          <w:szCs w:val="22"/>
        </w:rPr>
        <w:t xml:space="preserve">AP 8 -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Dezvoltarea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infrastructurii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sanitare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sociale</w:t>
      </w:r>
      <w:proofErr w:type="spellEnd"/>
      <w:r>
        <w:rPr>
          <w:rFonts w:ascii="Trebuchet MS" w:hAnsi="Trebuchet MS" w:cs="F2"/>
          <w:bCs/>
          <w:sz w:val="22"/>
          <w:szCs w:val="22"/>
        </w:rPr>
        <w:t>;</w:t>
      </w:r>
      <w:r>
        <w:rPr>
          <w:rFonts w:ascii="Trebuchet MS" w:hAnsi="Trebuchet MS" w:cs="F2"/>
          <w:b/>
          <w:bCs/>
          <w:sz w:val="22"/>
          <w:szCs w:val="22"/>
        </w:rPr>
        <w:t xml:space="preserve">  AP 10 -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Imbunatatirea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infrastructurii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educationale</w:t>
      </w:r>
      <w:proofErr w:type="spellEnd"/>
      <w:r>
        <w:rPr>
          <w:rFonts w:ascii="Trebuchet MS" w:hAnsi="Trebuchet MS" w:cs="F2"/>
          <w:bCs/>
          <w:sz w:val="22"/>
          <w:szCs w:val="22"/>
        </w:rPr>
        <w:t>;</w:t>
      </w:r>
      <w:r>
        <w:rPr>
          <w:rFonts w:ascii="Trebuchet MS" w:hAnsi="Trebuchet MS" w:cs="F2"/>
          <w:b/>
          <w:bCs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8" w:type="dxa"/>
      <w:tblInd w:w="-9" w:type="dxa"/>
      <w:tblLook w:val="04A0"/>
    </w:tblPr>
    <w:tblGrid>
      <w:gridCol w:w="5646"/>
      <w:gridCol w:w="3442"/>
    </w:tblGrid>
    <w:tr w:rsidR="005224E9" w:rsidTr="005B2802">
      <w:trPr>
        <w:trHeight w:val="475"/>
      </w:trPr>
      <w:tc>
        <w:tcPr>
          <w:tcW w:w="5646" w:type="dxa"/>
          <w:shd w:val="clear" w:color="auto" w:fill="8064A2" w:themeFill="accent4"/>
          <w:vAlign w:val="center"/>
        </w:tcPr>
        <w:p w:rsidR="005224E9" w:rsidRPr="005B2802" w:rsidRDefault="00761529">
          <w:pPr>
            <w:pStyle w:val="Header"/>
            <w:jc w:val="right"/>
            <w:rPr>
              <w:rFonts w:ascii="Trebuchet MS" w:hAnsi="Trebuchet MS"/>
              <w:caps/>
              <w:color w:val="FFFFFF" w:themeColor="background1"/>
              <w:sz w:val="22"/>
              <w:szCs w:val="22"/>
            </w:rPr>
          </w:pPr>
          <w:sdt>
            <w:sdtPr>
              <w:rPr>
                <w:rFonts w:ascii="Trebuchet MS" w:hAnsi="Trebuchet MS"/>
                <w:sz w:val="22"/>
                <w:szCs w:val="22"/>
              </w:rPr>
              <w:alias w:val="Title"/>
              <w:id w:val="5093546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5426B1" w:rsidRPr="005B2802">
                <w:rPr>
                  <w:rFonts w:ascii="Trebuchet MS" w:hAnsi="Trebuchet MS"/>
                  <w:b/>
                  <w:caps/>
                  <w:shadow/>
                  <w:color w:val="FFFFFF" w:themeColor="background1"/>
                  <w:sz w:val="22"/>
                  <w:szCs w:val="22"/>
                </w:rPr>
                <w:t>Grupul de acțiune locală sudul gorjului</w:t>
              </w:r>
            </w:sdtContent>
          </w:sdt>
        </w:p>
      </w:tc>
      <w:tc>
        <w:tcPr>
          <w:tcW w:w="3442" w:type="dxa"/>
          <w:shd w:val="clear" w:color="auto" w:fill="000000" w:themeFill="text1"/>
          <w:vAlign w:val="center"/>
        </w:tcPr>
        <w:p w:rsidR="005224E9" w:rsidRPr="005B2802" w:rsidRDefault="005426B1">
          <w:pPr>
            <w:pStyle w:val="Header"/>
            <w:jc w:val="center"/>
            <w:rPr>
              <w:rFonts w:ascii="Trebuchet MS" w:hAnsi="Trebuchet MS"/>
              <w:b/>
              <w:shadow/>
              <w:color w:val="FFFFFF" w:themeColor="background1"/>
              <w:sz w:val="22"/>
              <w:szCs w:val="22"/>
            </w:rPr>
          </w:pPr>
          <w:proofErr w:type="spellStart"/>
          <w:r w:rsidRPr="005B2802">
            <w:rPr>
              <w:rFonts w:ascii="Trebuchet MS" w:hAnsi="Trebuchet MS"/>
              <w:b/>
              <w:shadow/>
              <w:color w:val="FFFFFF" w:themeColor="background1"/>
              <w:sz w:val="22"/>
              <w:szCs w:val="22"/>
            </w:rPr>
            <w:t>Strategia</w:t>
          </w:r>
          <w:proofErr w:type="spellEnd"/>
          <w:r w:rsidRPr="005B2802">
            <w:rPr>
              <w:rFonts w:ascii="Trebuchet MS" w:hAnsi="Trebuchet MS"/>
              <w:b/>
              <w:shadow/>
              <w:color w:val="FFFFFF" w:themeColor="background1"/>
              <w:sz w:val="22"/>
              <w:szCs w:val="22"/>
            </w:rPr>
            <w:t xml:space="preserve"> de </w:t>
          </w:r>
          <w:proofErr w:type="spellStart"/>
          <w:r w:rsidRPr="005B2802">
            <w:rPr>
              <w:rFonts w:ascii="Trebuchet MS" w:hAnsi="Trebuchet MS"/>
              <w:b/>
              <w:shadow/>
              <w:color w:val="FFFFFF" w:themeColor="background1"/>
              <w:sz w:val="22"/>
              <w:szCs w:val="22"/>
            </w:rPr>
            <w:t>Dezvoltare</w:t>
          </w:r>
          <w:proofErr w:type="spellEnd"/>
          <w:r w:rsidRPr="005B2802">
            <w:rPr>
              <w:rFonts w:ascii="Trebuchet MS" w:hAnsi="Trebuchet MS"/>
              <w:b/>
              <w:shadow/>
              <w:color w:val="FFFFFF" w:themeColor="background1"/>
              <w:sz w:val="22"/>
              <w:szCs w:val="22"/>
            </w:rPr>
            <w:t xml:space="preserve"> </w:t>
          </w:r>
          <w:proofErr w:type="spellStart"/>
          <w:r w:rsidRPr="005B2802">
            <w:rPr>
              <w:rFonts w:ascii="Trebuchet MS" w:hAnsi="Trebuchet MS"/>
              <w:b/>
              <w:shadow/>
              <w:color w:val="FFFFFF" w:themeColor="background1"/>
              <w:sz w:val="22"/>
              <w:szCs w:val="22"/>
            </w:rPr>
            <w:t>Locală</w:t>
          </w:r>
          <w:proofErr w:type="spellEnd"/>
        </w:p>
      </w:tc>
    </w:tr>
  </w:tbl>
  <w:p w:rsidR="005224E9" w:rsidRDefault="005224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4E9"/>
    <w:rsid w:val="001A100F"/>
    <w:rsid w:val="002B2AB3"/>
    <w:rsid w:val="005224E9"/>
    <w:rsid w:val="005426B1"/>
    <w:rsid w:val="005B2802"/>
    <w:rsid w:val="006151EB"/>
    <w:rsid w:val="00761529"/>
    <w:rsid w:val="0080504B"/>
    <w:rsid w:val="00952695"/>
    <w:rsid w:val="00DE488A"/>
    <w:rsid w:val="00F52CA8"/>
    <w:rsid w:val="00F624B2"/>
    <w:rsid w:val="00F8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332C1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332C1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eChar">
    <w:name w:val="Title Char"/>
    <w:basedOn w:val="DefaultParagraphFont"/>
    <w:link w:val="Title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Strong">
    <w:name w:val="Strong"/>
    <w:uiPriority w:val="22"/>
    <w:qFormat/>
    <w:rsid w:val="002332C1"/>
    <w:rPr>
      <w:b/>
      <w:color w:val="C0504D"/>
    </w:rPr>
  </w:style>
  <w:style w:type="character" w:styleId="Emphasis">
    <w:name w:val="Emphasis"/>
    <w:uiPriority w:val="20"/>
    <w:qFormat/>
    <w:rsid w:val="002332C1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332C1"/>
    <w:rPr>
      <w:rFonts w:eastAsiaTheme="minorEastAsia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332C1"/>
    <w:rPr>
      <w:lang w:bidi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332C1"/>
    <w:rPr>
      <w:rFonts w:eastAsia="Calibri"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332C1"/>
    <w:rPr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2332C1"/>
    <w:rPr>
      <w:i/>
    </w:rPr>
  </w:style>
  <w:style w:type="character" w:styleId="IntenseEmphasi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2332C1"/>
    <w:rPr>
      <w:b/>
    </w:rPr>
  </w:style>
  <w:style w:type="character" w:styleId="IntenseReference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8715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602B4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D602B4"/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33BD"/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233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32C1"/>
    <w:rPr>
      <w:rFonts w:eastAsia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Header">
    <w:name w:val="header"/>
    <w:basedOn w:val="Normal"/>
    <w:link w:val="Head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5224E9"/>
  </w:style>
  <w:style w:type="table" w:styleId="TableGrid">
    <w:name w:val="Table Grid"/>
    <w:basedOn w:val="TableNormal"/>
    <w:uiPriority w:val="59"/>
    <w:rsid w:val="003929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CB892-0BCE-4055-95C2-5B6864E5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7481</TotalTime>
  <Pages>1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Roxana</cp:lastModifiedBy>
  <cp:revision>43</cp:revision>
  <cp:lastPrinted>2016-04-26T19:33:00Z</cp:lastPrinted>
  <dcterms:created xsi:type="dcterms:W3CDTF">2016-04-25T09:09:00Z</dcterms:created>
  <dcterms:modified xsi:type="dcterms:W3CDTF">2016-04-26T19:33:00Z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