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D95D" w14:textId="77777777" w:rsidR="00E06D1C" w:rsidRDefault="00A14F64">
      <w:pPr>
        <w:pStyle w:val="Default"/>
        <w:spacing w:line="276" w:lineRule="auto"/>
        <w:jc w:val="center"/>
        <w:rPr>
          <w:sz w:val="22"/>
          <w:szCs w:val="22"/>
        </w:rPr>
      </w:pPr>
      <w:r>
        <w:rPr>
          <w:b/>
          <w:bCs/>
          <w:sz w:val="22"/>
          <w:szCs w:val="22"/>
        </w:rPr>
        <w:t xml:space="preserve">FIȘA MĂSURII </w:t>
      </w:r>
      <w:r>
        <w:rPr>
          <w:b/>
          <w:bCs/>
          <w:color w:val="403152" w:themeColor="accent4" w:themeShade="80"/>
          <w:sz w:val="22"/>
          <w:szCs w:val="22"/>
        </w:rPr>
        <w:t>M 2.1.</w:t>
      </w:r>
    </w:p>
    <w:p w14:paraId="3912AB4A" w14:textId="77777777" w:rsidR="00E06D1C" w:rsidRDefault="00E06D1C">
      <w:pPr>
        <w:pStyle w:val="Default"/>
        <w:spacing w:line="276" w:lineRule="auto"/>
        <w:jc w:val="both"/>
        <w:rPr>
          <w:b/>
          <w:bCs/>
          <w:sz w:val="22"/>
          <w:szCs w:val="22"/>
        </w:rPr>
      </w:pPr>
    </w:p>
    <w:p w14:paraId="1C41FBF1" w14:textId="77777777" w:rsidR="00E06D1C" w:rsidRDefault="00A14F64">
      <w:pPr>
        <w:pStyle w:val="Default"/>
        <w:spacing w:line="276" w:lineRule="auto"/>
        <w:jc w:val="both"/>
        <w:rPr>
          <w:color w:val="403152" w:themeColor="accent4" w:themeShade="80"/>
          <w:sz w:val="22"/>
          <w:szCs w:val="22"/>
        </w:rPr>
      </w:pPr>
      <w:r>
        <w:rPr>
          <w:b/>
          <w:bCs/>
          <w:sz w:val="22"/>
          <w:szCs w:val="22"/>
        </w:rPr>
        <w:t xml:space="preserve">Denumirea măsurii: </w:t>
      </w:r>
      <w:r>
        <w:rPr>
          <w:b/>
          <w:bCs/>
          <w:color w:val="403152" w:themeColor="accent4" w:themeShade="80"/>
          <w:sz w:val="22"/>
          <w:szCs w:val="22"/>
          <w:shd w:val="clear" w:color="auto" w:fill="FFFFFF"/>
        </w:rPr>
        <w:t>„</w:t>
      </w:r>
      <w:r>
        <w:rPr>
          <w:b/>
          <w:bCs/>
          <w:i/>
          <w:color w:val="403152" w:themeColor="accent4" w:themeShade="80"/>
          <w:sz w:val="22"/>
          <w:szCs w:val="22"/>
          <w:shd w:val="clear" w:color="auto" w:fill="FFFFFF"/>
        </w:rPr>
        <w:t>Performanțe economice îmbunătățite pentru fermele din teritoriu</w:t>
      </w:r>
      <w:r>
        <w:rPr>
          <w:b/>
          <w:bCs/>
          <w:i/>
          <w:iCs/>
          <w:color w:val="403152" w:themeColor="accent4" w:themeShade="80"/>
          <w:sz w:val="22"/>
          <w:szCs w:val="22"/>
        </w:rPr>
        <w:t>”</w:t>
      </w:r>
    </w:p>
    <w:p w14:paraId="2A6B2006" w14:textId="77777777" w:rsidR="00E06D1C" w:rsidRDefault="00A14F64">
      <w:pPr>
        <w:pStyle w:val="Default"/>
        <w:spacing w:line="276" w:lineRule="auto"/>
        <w:jc w:val="both"/>
        <w:rPr>
          <w:sz w:val="22"/>
          <w:szCs w:val="22"/>
        </w:rPr>
      </w:pPr>
      <w:r>
        <w:rPr>
          <w:b/>
          <w:bCs/>
          <w:sz w:val="22"/>
          <w:szCs w:val="22"/>
        </w:rPr>
        <w:t xml:space="preserve">CODUL Măsurii: </w:t>
      </w:r>
      <w:r>
        <w:rPr>
          <w:b/>
          <w:bCs/>
          <w:color w:val="403152" w:themeColor="accent4" w:themeShade="80"/>
          <w:sz w:val="22"/>
          <w:szCs w:val="22"/>
        </w:rPr>
        <w:t>M 2.</w:t>
      </w:r>
      <w:r>
        <w:rPr>
          <w:b/>
          <w:bCs/>
          <w:color w:val="403152" w:themeColor="accent4" w:themeShade="80"/>
          <w:sz w:val="22"/>
          <w:szCs w:val="22"/>
          <w:lang w:val="en-US"/>
        </w:rPr>
        <w:t>1.</w:t>
      </w:r>
      <w:r>
        <w:rPr>
          <w:b/>
          <w:bCs/>
          <w:color w:val="FF3333"/>
          <w:sz w:val="22"/>
          <w:szCs w:val="22"/>
        </w:rPr>
        <w:t xml:space="preserve"> </w:t>
      </w:r>
      <w:r>
        <w:rPr>
          <w:b/>
          <w:bCs/>
          <w:sz w:val="22"/>
          <w:szCs w:val="22"/>
        </w:rPr>
        <w:t xml:space="preserve"> </w:t>
      </w:r>
    </w:p>
    <w:p w14:paraId="6AB846FE" w14:textId="77777777" w:rsidR="00E06D1C" w:rsidRDefault="00A14F64">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403152" w:themeColor="accent4" w:themeShade="80"/>
          <w:sz w:val="22"/>
          <w:szCs w:val="22"/>
        </w:rPr>
        <w:t>M 2.</w:t>
      </w:r>
      <w:r>
        <w:rPr>
          <w:b/>
          <w:bCs/>
          <w:color w:val="403152" w:themeColor="accent4" w:themeShade="80"/>
          <w:sz w:val="22"/>
          <w:szCs w:val="22"/>
          <w:lang w:val="en-US"/>
        </w:rPr>
        <w:t>1.</w:t>
      </w:r>
      <w:r>
        <w:rPr>
          <w:b/>
          <w:bCs/>
          <w:color w:val="403152" w:themeColor="accent4" w:themeShade="80"/>
          <w:sz w:val="22"/>
          <w:szCs w:val="22"/>
        </w:rPr>
        <w:t xml:space="preserve"> / 2A</w:t>
      </w:r>
    </w:p>
    <w:p w14:paraId="3A885CAF" w14:textId="77777777" w:rsidR="00E06D1C" w:rsidRDefault="00A14F64">
      <w:pPr>
        <w:pStyle w:val="Default"/>
        <w:spacing w:line="276" w:lineRule="auto"/>
        <w:jc w:val="both"/>
        <w:rPr>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 xml:space="preserve">INVESTIȚII </w:t>
      </w:r>
    </w:p>
    <w:p w14:paraId="1C587A52" w14:textId="77777777" w:rsidR="00E06D1C" w:rsidRDefault="00A14F64">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SERVICII </w:t>
      </w:r>
    </w:p>
    <w:p w14:paraId="09595FFA" w14:textId="77777777" w:rsidR="00E06D1C" w:rsidRDefault="00A14F64">
      <w:pPr>
        <w:pStyle w:val="Default"/>
        <w:spacing w:line="276" w:lineRule="auto"/>
        <w:ind w:left="1440" w:firstLine="720"/>
        <w:jc w:val="both"/>
        <w:rPr>
          <w:b/>
          <w:bCs/>
          <w:sz w:val="22"/>
          <w:szCs w:val="22"/>
        </w:rPr>
      </w:pPr>
      <w:r>
        <w:rPr>
          <w:rFonts w:eastAsia="Trebuchet MS"/>
          <w:b/>
          <w:bCs/>
          <w:sz w:val="22"/>
          <w:szCs w:val="22"/>
        </w:rPr>
        <w:t xml:space="preserve">×  </w:t>
      </w:r>
      <w:r>
        <w:rPr>
          <w:b/>
          <w:bCs/>
          <w:sz w:val="22"/>
          <w:szCs w:val="22"/>
        </w:rPr>
        <w:t xml:space="preserve">SPRIJIN FORFETAR </w:t>
      </w:r>
    </w:p>
    <w:p w14:paraId="44C3B889" w14:textId="77777777" w:rsidR="00E06D1C" w:rsidRDefault="00A14F64">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238B3AE2" w14:textId="77777777" w:rsidR="00E06D1C" w:rsidRDefault="00A14F64">
      <w:pPr>
        <w:pStyle w:val="Default"/>
        <w:spacing w:line="276" w:lineRule="auto"/>
        <w:jc w:val="both"/>
        <w:rPr>
          <w:sz w:val="22"/>
          <w:szCs w:val="22"/>
        </w:rPr>
      </w:pPr>
      <w:r>
        <w:rPr>
          <w:b/>
          <w:bCs/>
          <w:sz w:val="22"/>
          <w:szCs w:val="22"/>
        </w:rPr>
        <w:t>1.1. Scurtă justificare și corelare cu analiza SWOT</w:t>
      </w:r>
    </w:p>
    <w:p w14:paraId="2F5EC526" w14:textId="77777777" w:rsidR="00E06D1C" w:rsidRDefault="00A14F64">
      <w:pPr>
        <w:pStyle w:val="Default"/>
        <w:spacing w:line="276" w:lineRule="auto"/>
        <w:jc w:val="both"/>
        <w:rPr>
          <w:sz w:val="22"/>
          <w:szCs w:val="22"/>
        </w:rPr>
      </w:pPr>
      <w:r>
        <w:rPr>
          <w:bCs/>
          <w:sz w:val="22"/>
          <w:szCs w:val="22"/>
        </w:rPr>
        <w:t>Terenurile agricole din teritoriul reprezintă un procent important din fondul funciar existent.</w:t>
      </w:r>
      <w:r>
        <w:rPr>
          <w:bCs/>
          <w:color w:val="FF3333"/>
          <w:sz w:val="22"/>
          <w:szCs w:val="22"/>
        </w:rPr>
        <w:t xml:space="preserve"> </w:t>
      </w:r>
      <w:r>
        <w:rPr>
          <w:bCs/>
          <w:sz w:val="22"/>
          <w:szCs w:val="22"/>
        </w:rPr>
        <w:t xml:space="preserve">După cum reiese din analiza diagnostic realizată la nivelul teritoriului, </w:t>
      </w:r>
      <w:proofErr w:type="spellStart"/>
      <w:r>
        <w:rPr>
          <w:bCs/>
          <w:sz w:val="22"/>
          <w:szCs w:val="22"/>
        </w:rPr>
        <w:t>exploataţiile</w:t>
      </w:r>
      <w:proofErr w:type="spellEnd"/>
      <w:r>
        <w:rPr>
          <w:bCs/>
          <w:sz w:val="22"/>
          <w:szCs w:val="22"/>
        </w:rPr>
        <w:t xml:space="preserve"> agricole preponderente sunt reprezentate de fermele mici cu o suprafață agricolă sub 5 ha. Majoritatea fermelor de la nivelul teritoriului se caracterizează printr-o putere de economică redusă și orientare către consum din producția proprie, având mai mult caracter de subzistență.</w:t>
      </w:r>
    </w:p>
    <w:p w14:paraId="61BDFC7F" w14:textId="77777777" w:rsidR="00E06D1C" w:rsidRDefault="00A14F64">
      <w:pPr>
        <w:pStyle w:val="Default"/>
        <w:spacing w:line="276" w:lineRule="auto"/>
        <w:jc w:val="both"/>
        <w:rPr>
          <w:sz w:val="22"/>
          <w:szCs w:val="22"/>
        </w:rPr>
      </w:pPr>
      <w:r>
        <w:rPr>
          <w:bCs/>
          <w:sz w:val="22"/>
          <w:szCs w:val="22"/>
        </w:rPr>
        <w:t xml:space="preserve">O altă trăsătură a exploatațiilor agricole din cadrul teritoriului este faptul că majoritatea covârșitoare sunt </w:t>
      </w:r>
      <w:r>
        <w:rPr>
          <w:b/>
          <w:bCs/>
          <w:sz w:val="22"/>
          <w:szCs w:val="22"/>
        </w:rPr>
        <w:t>fără personalitate juridică</w:t>
      </w:r>
      <w:r>
        <w:rPr>
          <w:bCs/>
          <w:sz w:val="22"/>
          <w:szCs w:val="22"/>
        </w:rPr>
        <w:t xml:space="preserve">, fiind organizate ca </w:t>
      </w:r>
      <w:r>
        <w:rPr>
          <w:b/>
          <w:bCs/>
          <w:i/>
          <w:iCs/>
          <w:sz w:val="22"/>
          <w:szCs w:val="22"/>
        </w:rPr>
        <w:t>exploatații agricole individuale</w:t>
      </w:r>
      <w:r>
        <w:rPr>
          <w:bCs/>
          <w:sz w:val="22"/>
          <w:szCs w:val="22"/>
        </w:rPr>
        <w:t xml:space="preserve"> sau </w:t>
      </w:r>
      <w:r>
        <w:rPr>
          <w:sz w:val="22"/>
          <w:szCs w:val="22"/>
        </w:rPr>
        <w:t xml:space="preserve">persoane fizice autorizate, întreprinderi individuale, întreprinderi familiale (conform </w:t>
      </w:r>
      <w:r>
        <w:rPr>
          <w:i/>
          <w:iCs/>
          <w:sz w:val="22"/>
          <w:szCs w:val="22"/>
        </w:rPr>
        <w:t>Recensământului General Agricol 2010, tabelul 35a).</w:t>
      </w:r>
    </w:p>
    <w:p w14:paraId="508C8F18" w14:textId="77777777" w:rsidR="00E06D1C" w:rsidRDefault="00A14F64">
      <w:pPr>
        <w:pStyle w:val="Default"/>
        <w:spacing w:line="276" w:lineRule="auto"/>
        <w:jc w:val="both"/>
        <w:rPr>
          <w:sz w:val="22"/>
          <w:szCs w:val="22"/>
        </w:rPr>
      </w:pPr>
      <w:r>
        <w:rPr>
          <w:sz w:val="22"/>
          <w:szCs w:val="22"/>
        </w:rPr>
        <w:t>În cadrul fermelor de subzistență existente se desfășoară activități agricole de cultivare a plantelor și creșterea animalelor utilizând preponderent experiența practică tradițională a fermierilor, care nu au acces la tehnici și tehnologii moderne și inovative. Structura de producție este diversificată, fiind rezultanta necesităților gospodăriilor. De asemenea, fermele dispun de o dotare tehnică redusă și necorespunzătoare.</w:t>
      </w:r>
    </w:p>
    <w:p w14:paraId="3B5A6855" w14:textId="77777777" w:rsidR="00E06D1C" w:rsidRDefault="00A14F64">
      <w:pPr>
        <w:pStyle w:val="Default"/>
        <w:spacing w:line="276" w:lineRule="auto"/>
        <w:jc w:val="both"/>
        <w:rPr>
          <w:sz w:val="22"/>
          <w:szCs w:val="22"/>
        </w:rPr>
      </w:pPr>
      <w:r>
        <w:rPr>
          <w:sz w:val="22"/>
          <w:szCs w:val="22"/>
        </w:rPr>
        <w:t xml:space="preserve">Aspectele menționate anterior împiedică creșterea productivității fermelor și obținerea unei producții suplimentare celei destinate consumului propriu, ce ar putea fi destinată comercializării. Pentru a elimina aceste inconveniente identificate și a facilita orientarea către piață a fermelor de subzistență este necesară schimbarea sistemului de producție, introducerea de tehnici și tehnologii moderne, în concordanță cu politicile de mediu, și implicit cheltuieli financiare suplimentare, pe care fermierii nu și le permit. </w:t>
      </w:r>
    </w:p>
    <w:p w14:paraId="16614BD7" w14:textId="77777777" w:rsidR="00E06D1C" w:rsidRDefault="00A14F64">
      <w:pPr>
        <w:pStyle w:val="Default"/>
        <w:spacing w:line="276" w:lineRule="auto"/>
        <w:jc w:val="both"/>
        <w:rPr>
          <w:sz w:val="22"/>
          <w:szCs w:val="22"/>
        </w:rPr>
      </w:pPr>
      <w:r>
        <w:rPr>
          <w:bCs/>
          <w:sz w:val="22"/>
          <w:szCs w:val="22"/>
        </w:rPr>
        <w:t>Prin sprijinirea operațiunilor vizate de prezenta măsură se urmărește obținerea unei îmbunătățiri a managementului fermelor, precum și transformarea acestora în exploatații comerciale, capabile să identifice noi oportunități de valorificare a producției.</w:t>
      </w:r>
    </w:p>
    <w:p w14:paraId="2DA72B1B" w14:textId="77777777" w:rsidR="00E06D1C" w:rsidRDefault="00A14F64">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a).</w:t>
      </w:r>
      <w:r>
        <w:rPr>
          <w:b/>
          <w:bCs/>
          <w:color w:val="808080"/>
          <w:sz w:val="22"/>
          <w:szCs w:val="22"/>
        </w:rPr>
        <w:t xml:space="preserve"> </w:t>
      </w:r>
      <w:r>
        <w:rPr>
          <w:b/>
          <w:bCs/>
          <w:i/>
          <w:iCs/>
          <w:color w:val="808080"/>
          <w:sz w:val="22"/>
          <w:szCs w:val="22"/>
        </w:rPr>
        <w:t>favorizarea competitivității agriculturii.</w:t>
      </w:r>
    </w:p>
    <w:p w14:paraId="012D86E6" w14:textId="77777777" w:rsidR="00E06D1C" w:rsidRDefault="00A14F64">
      <w:pPr>
        <w:pStyle w:val="Default"/>
        <w:spacing w:line="276" w:lineRule="auto"/>
        <w:jc w:val="both"/>
        <w:rPr>
          <w:sz w:val="22"/>
          <w:szCs w:val="22"/>
        </w:rPr>
      </w:pPr>
      <w:r>
        <w:rPr>
          <w:b/>
          <w:bCs/>
          <w:sz w:val="22"/>
          <w:szCs w:val="22"/>
        </w:rPr>
        <w:t xml:space="preserve">1.3. Obiectiv(e) specific(e) al(e) măsurii </w:t>
      </w:r>
      <w:r>
        <w:rPr>
          <w:b/>
          <w:bCs/>
          <w:color w:val="403152" w:themeColor="accent4" w:themeShade="80"/>
          <w:sz w:val="22"/>
          <w:szCs w:val="22"/>
        </w:rPr>
        <w:t>M 2.</w:t>
      </w:r>
      <w:r>
        <w:rPr>
          <w:b/>
          <w:bCs/>
          <w:color w:val="403152" w:themeColor="accent4" w:themeShade="80"/>
          <w:sz w:val="22"/>
          <w:szCs w:val="22"/>
          <w:lang w:val="en-US"/>
        </w:rPr>
        <w:t>1</w:t>
      </w:r>
      <w:r>
        <w:rPr>
          <w:b/>
          <w:bCs/>
          <w:color w:val="0000CC"/>
          <w:sz w:val="22"/>
          <w:szCs w:val="22"/>
          <w:lang w:val="en-US"/>
        </w:rPr>
        <w:t>.</w:t>
      </w:r>
      <w:r>
        <w:rPr>
          <w:b/>
          <w:bCs/>
          <w:sz w:val="22"/>
          <w:szCs w:val="22"/>
        </w:rPr>
        <w:t xml:space="preserve">: </w:t>
      </w:r>
      <w:r>
        <w:rPr>
          <w:rFonts w:cs="Calibri"/>
          <w:b/>
          <w:bCs/>
          <w:i/>
          <w:iCs/>
          <w:color w:val="808080"/>
          <w:sz w:val="22"/>
          <w:szCs w:val="22"/>
        </w:rPr>
        <w:t xml:space="preserve">diversificarea producției fermelor de la </w:t>
      </w:r>
      <w:proofErr w:type="spellStart"/>
      <w:r>
        <w:rPr>
          <w:rFonts w:cs="Calibri"/>
          <w:b/>
          <w:bCs/>
          <w:i/>
          <w:iCs/>
          <w:color w:val="808080"/>
          <w:sz w:val="22"/>
          <w:szCs w:val="22"/>
          <w:lang w:val="en-US"/>
        </w:rPr>
        <w:t>nivelul</w:t>
      </w:r>
      <w:proofErr w:type="spellEnd"/>
      <w:r>
        <w:rPr>
          <w:rFonts w:cs="Calibri"/>
          <w:b/>
          <w:bCs/>
          <w:i/>
          <w:iCs/>
          <w:color w:val="808080"/>
          <w:sz w:val="22"/>
          <w:szCs w:val="22"/>
        </w:rPr>
        <w:t xml:space="preserve"> teritoriului în funcție de cerințele pieței; creșterea calității produselor obținute și diversificarea producției agricole; promovarea procesării produselor la nivelul fermei și comercializarea directă a acestora </w:t>
      </w:r>
      <w:proofErr w:type="spellStart"/>
      <w:r>
        <w:rPr>
          <w:rFonts w:cs="Calibri"/>
          <w:b/>
          <w:bCs/>
          <w:i/>
          <w:iCs/>
          <w:color w:val="808080"/>
          <w:sz w:val="22"/>
          <w:szCs w:val="22"/>
        </w:rPr>
        <w:t>fară</w:t>
      </w:r>
      <w:proofErr w:type="spellEnd"/>
      <w:r>
        <w:rPr>
          <w:rFonts w:cs="Calibri"/>
          <w:b/>
          <w:bCs/>
          <w:i/>
          <w:iCs/>
          <w:color w:val="808080"/>
          <w:sz w:val="22"/>
          <w:szCs w:val="22"/>
        </w:rPr>
        <w:t xml:space="preserve"> ajutorul intermediarilor; reducerea emisiilor cu efect de seră prin o mai bună gestionare a deșeurilor rezultate din activitatea de producție. </w:t>
      </w:r>
    </w:p>
    <w:p w14:paraId="4A9CE219" w14:textId="77777777" w:rsidR="00E06D1C" w:rsidRDefault="00A14F64">
      <w:pPr>
        <w:pStyle w:val="Default"/>
        <w:spacing w:line="276" w:lineRule="auto"/>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 xml:space="preserve">P2 „Creșterea viabilității fermelor și a competitivității tuturor tipurilor </w:t>
      </w:r>
      <w:r>
        <w:rPr>
          <w:b/>
          <w:bCs/>
          <w:i/>
          <w:iCs/>
          <w:color w:val="808080"/>
          <w:sz w:val="22"/>
          <w:szCs w:val="22"/>
        </w:rPr>
        <w:lastRenderedPageBreak/>
        <w:t>de agricultură în toate regiunile și promovarea tehnologiilor agricole inovatoare și a gestionării durabile a pădurilor.”</w:t>
      </w:r>
    </w:p>
    <w:p w14:paraId="7F9AA9ED" w14:textId="77777777" w:rsidR="00E06D1C" w:rsidRDefault="00A14F64">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999999"/>
          <w:sz w:val="22"/>
          <w:szCs w:val="22"/>
        </w:rPr>
        <w:t>19</w:t>
      </w:r>
      <w:r w:rsidR="009A229B">
        <w:rPr>
          <w:b/>
          <w:bCs/>
          <w:color w:val="999999"/>
          <w:sz w:val="22"/>
          <w:szCs w:val="22"/>
        </w:rPr>
        <w:t xml:space="preserve"> </w:t>
      </w:r>
      <w:r w:rsidR="009A229B" w:rsidRPr="008333A5">
        <w:rPr>
          <w:rFonts w:cs="Calibri"/>
          <w:sz w:val="22"/>
          <w:szCs w:val="22"/>
        </w:rPr>
        <w:t xml:space="preserve">alin (1), lit.(a), </w:t>
      </w:r>
      <w:proofErr w:type="spellStart"/>
      <w:r w:rsidR="009A229B" w:rsidRPr="008333A5">
        <w:rPr>
          <w:rFonts w:cs="Calibri"/>
          <w:sz w:val="22"/>
          <w:szCs w:val="22"/>
        </w:rPr>
        <w:t>pct.iii</w:t>
      </w:r>
      <w:proofErr w:type="spellEnd"/>
      <w:r>
        <w:rPr>
          <w:b/>
          <w:bCs/>
          <w:color w:val="FF3333"/>
          <w:sz w:val="22"/>
          <w:szCs w:val="22"/>
        </w:rPr>
        <w:t xml:space="preserve"> </w:t>
      </w:r>
      <w:r>
        <w:rPr>
          <w:b/>
          <w:bCs/>
          <w:sz w:val="22"/>
          <w:szCs w:val="22"/>
        </w:rPr>
        <w:t xml:space="preserve">din Reg. (UE) nr. 1305/2013 </w:t>
      </w:r>
    </w:p>
    <w:p w14:paraId="6B75F463" w14:textId="77777777" w:rsidR="00E06D1C" w:rsidRDefault="00A14F64">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2A)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p w14:paraId="272D6D95" w14:textId="77777777" w:rsidR="00E06D1C" w:rsidRDefault="00A14F64">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14D1AB19" w14:textId="77777777" w:rsidR="00E06D1C" w:rsidRDefault="00A14F64">
      <w:pPr>
        <w:pStyle w:val="Default"/>
        <w:spacing w:line="276" w:lineRule="auto"/>
        <w:jc w:val="both"/>
        <w:rPr>
          <w:sz w:val="22"/>
          <w:szCs w:val="22"/>
        </w:rPr>
      </w:pPr>
      <w:r>
        <w:rPr>
          <w:b/>
          <w:bCs/>
          <w:sz w:val="22"/>
          <w:szCs w:val="22"/>
        </w:rPr>
        <w:t xml:space="preserve">1.8. Complementaritatea cu alte măsuri din SDL: </w:t>
      </w:r>
      <w:r>
        <w:rPr>
          <w:b/>
          <w:bCs/>
          <w:color w:val="808080"/>
          <w:sz w:val="22"/>
          <w:szCs w:val="22"/>
        </w:rPr>
        <w:t>M 1 / 1C.</w:t>
      </w:r>
      <w:r>
        <w:rPr>
          <w:color w:val="808080"/>
          <w:sz w:val="22"/>
          <w:szCs w:val="22"/>
        </w:rPr>
        <w:t xml:space="preserve"> </w:t>
      </w:r>
    </w:p>
    <w:p w14:paraId="4A9D99E0" w14:textId="77777777" w:rsidR="00E06D1C" w:rsidRDefault="00A14F64">
      <w:pPr>
        <w:pStyle w:val="Default"/>
        <w:spacing w:line="276" w:lineRule="auto"/>
        <w:jc w:val="both"/>
        <w:rPr>
          <w:sz w:val="22"/>
          <w:szCs w:val="22"/>
        </w:rPr>
      </w:pPr>
      <w:r>
        <w:rPr>
          <w:b/>
          <w:bCs/>
          <w:sz w:val="22"/>
          <w:szCs w:val="22"/>
        </w:rPr>
        <w:t>1.9. Sinergia cu alte măsuri din SDL:</w:t>
      </w:r>
      <w:r>
        <w:rPr>
          <w:sz w:val="22"/>
          <w:szCs w:val="22"/>
        </w:rPr>
        <w:t xml:space="preserve"> </w:t>
      </w:r>
      <w:r>
        <w:rPr>
          <w:b/>
          <w:bCs/>
          <w:color w:val="808080"/>
          <w:sz w:val="22"/>
          <w:szCs w:val="22"/>
        </w:rPr>
        <w:t>M 2.2. / 2B.</w:t>
      </w:r>
    </w:p>
    <w:p w14:paraId="1B24FE45" w14:textId="77777777" w:rsidR="00E06D1C" w:rsidRDefault="00A14F64">
      <w:pPr>
        <w:shd w:val="clear" w:color="auto" w:fill="E5DFEC" w:themeFill="accent4" w:themeFillTint="33"/>
        <w:spacing w:after="0"/>
        <w:jc w:val="both"/>
        <w:rPr>
          <w:rFonts w:ascii="Trebuchet MS" w:hAnsi="Trebuchet MS"/>
          <w:sz w:val="22"/>
          <w:szCs w:val="22"/>
          <w:lang w:val="ro-RO"/>
        </w:rPr>
      </w:pPr>
      <w:r>
        <w:rPr>
          <w:rFonts w:ascii="Trebuchet MS" w:hAnsi="Trebuchet MS"/>
          <w:b/>
          <w:bCs/>
          <w:sz w:val="22"/>
          <w:szCs w:val="22"/>
          <w:lang w:val="ro-RO"/>
        </w:rPr>
        <w:t xml:space="preserve">2. Valoarea adăugată a măsurii </w:t>
      </w:r>
    </w:p>
    <w:p w14:paraId="753B5303" w14:textId="77777777" w:rsidR="00E06D1C" w:rsidRDefault="00A14F64">
      <w:pPr>
        <w:spacing w:after="0"/>
        <w:jc w:val="both"/>
        <w:rPr>
          <w:rFonts w:ascii="Trebuchet MS" w:hAnsi="Trebuchet MS"/>
          <w:sz w:val="22"/>
          <w:szCs w:val="22"/>
        </w:rPr>
      </w:pPr>
      <w:proofErr w:type="spellStart"/>
      <w:r>
        <w:rPr>
          <w:rFonts w:ascii="Trebuchet MS" w:hAnsi="Trebuchet MS"/>
          <w:sz w:val="22"/>
          <w:szCs w:val="22"/>
        </w:rPr>
        <w:t>Valoarea</w:t>
      </w:r>
      <w:proofErr w:type="spellEnd"/>
      <w:r>
        <w:rPr>
          <w:rFonts w:ascii="Trebuchet MS" w:hAnsi="Trebuchet MS"/>
          <w:sz w:val="22"/>
          <w:szCs w:val="22"/>
        </w:rPr>
        <w:t xml:space="preserve"> </w:t>
      </w:r>
      <w:proofErr w:type="spellStart"/>
      <w:r>
        <w:rPr>
          <w:rFonts w:ascii="Trebuchet MS" w:hAnsi="Trebuchet MS"/>
          <w:sz w:val="22"/>
          <w:szCs w:val="22"/>
        </w:rPr>
        <w:t>adăugată</w:t>
      </w:r>
      <w:proofErr w:type="spellEnd"/>
      <w:r>
        <w:rPr>
          <w:rFonts w:ascii="Trebuchet MS" w:hAnsi="Trebuchet MS"/>
          <w:sz w:val="22"/>
          <w:szCs w:val="22"/>
        </w:rPr>
        <w:t xml:space="preserve"> </w:t>
      </w:r>
      <w:proofErr w:type="gramStart"/>
      <w:r>
        <w:rPr>
          <w:rFonts w:ascii="Trebuchet MS" w:hAnsi="Trebuchet MS"/>
          <w:sz w:val="22"/>
          <w:szCs w:val="22"/>
        </w:rPr>
        <w:t>a</w:t>
      </w:r>
      <w:proofErr w:type="gramEnd"/>
      <w:r>
        <w:rPr>
          <w:rFonts w:ascii="Trebuchet MS" w:hAnsi="Trebuchet MS"/>
          <w:sz w:val="22"/>
          <w:szCs w:val="22"/>
        </w:rPr>
        <w:t xml:space="preserve"> </w:t>
      </w:r>
      <w:proofErr w:type="spellStart"/>
      <w:r>
        <w:rPr>
          <w:rFonts w:ascii="Trebuchet MS" w:hAnsi="Trebuchet MS"/>
          <w:sz w:val="22"/>
          <w:szCs w:val="22"/>
        </w:rPr>
        <w:t>acestei</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generată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de </w:t>
      </w:r>
      <w:proofErr w:type="spellStart"/>
      <w:r>
        <w:rPr>
          <w:rFonts w:ascii="Trebuchet MS" w:hAnsi="Trebuchet MS"/>
          <w:b/>
          <w:bCs/>
          <w:sz w:val="22"/>
          <w:szCs w:val="22"/>
          <w:u w:val="single"/>
        </w:rPr>
        <w:t>impactul</w:t>
      </w:r>
      <w:proofErr w:type="spellEnd"/>
      <w:r>
        <w:rPr>
          <w:rFonts w:ascii="Trebuchet MS" w:hAnsi="Trebuchet MS"/>
          <w:b/>
          <w:bCs/>
          <w:sz w:val="22"/>
          <w:szCs w:val="22"/>
          <w:u w:val="single"/>
        </w:rPr>
        <w:t xml:space="preserve"> </w:t>
      </w:r>
      <w:proofErr w:type="spellStart"/>
      <w:r>
        <w:rPr>
          <w:rFonts w:ascii="Trebuchet MS" w:hAnsi="Trebuchet MS"/>
          <w:b/>
          <w:bCs/>
          <w:sz w:val="22"/>
          <w:szCs w:val="22"/>
          <w:u w:val="single"/>
        </w:rPr>
        <w:t>generat</w:t>
      </w:r>
      <w:proofErr w:type="spellEnd"/>
      <w:r>
        <w:rPr>
          <w:rFonts w:ascii="Trebuchet MS" w:hAnsi="Trebuchet MS"/>
          <w:b/>
          <w:bCs/>
          <w:sz w:val="22"/>
          <w:szCs w:val="22"/>
        </w:rPr>
        <w:t xml:space="preserve"> (a) </w:t>
      </w:r>
      <w:r>
        <w:rPr>
          <w:rFonts w:ascii="Trebuchet MS" w:hAnsi="Trebuchet MS"/>
          <w:sz w:val="22"/>
          <w:szCs w:val="22"/>
        </w:rPr>
        <w:t xml:space="preserve">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cs="Arial"/>
          <w:sz w:val="22"/>
          <w:szCs w:val="22"/>
        </w:rPr>
        <w:t>și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al </w:t>
      </w:r>
      <w:proofErr w:type="spellStart"/>
      <w:r>
        <w:rPr>
          <w:rFonts w:ascii="Trebuchet MS" w:hAnsi="Trebuchet MS" w:cs="Arial"/>
          <w:sz w:val="22"/>
          <w:szCs w:val="22"/>
        </w:rPr>
        <w:t>doilea</w:t>
      </w:r>
      <w:proofErr w:type="spellEnd"/>
      <w:r>
        <w:rPr>
          <w:rFonts w:ascii="Trebuchet MS" w:hAnsi="Trebuchet MS" w:cs="Arial"/>
          <w:sz w:val="22"/>
          <w:szCs w:val="22"/>
        </w:rPr>
        <w:t xml:space="preserve"> </w:t>
      </w:r>
      <w:proofErr w:type="spellStart"/>
      <w:r>
        <w:rPr>
          <w:rFonts w:ascii="Trebuchet MS" w:hAnsi="Trebuchet MS" w:cs="Arial"/>
          <w:sz w:val="22"/>
          <w:szCs w:val="22"/>
        </w:rPr>
        <w:t>rând</w:t>
      </w:r>
      <w:proofErr w:type="spellEnd"/>
      <w:r>
        <w:rPr>
          <w:rFonts w:ascii="Trebuchet MS" w:hAnsi="Trebuchet MS" w:cs="Arial"/>
          <w:sz w:val="22"/>
          <w:szCs w:val="22"/>
        </w:rPr>
        <w:t xml:space="preserve"> de </w:t>
      </w:r>
      <w:proofErr w:type="spellStart"/>
      <w:r>
        <w:rPr>
          <w:rFonts w:ascii="Trebuchet MS" w:hAnsi="Trebuchet MS" w:cs="Arial"/>
          <w:b/>
          <w:bCs/>
          <w:sz w:val="22"/>
          <w:szCs w:val="22"/>
          <w:u w:val="single"/>
        </w:rPr>
        <w:t>caracterul</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inovator</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și</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integrat</w:t>
      </w:r>
      <w:proofErr w:type="spellEnd"/>
      <w:r>
        <w:rPr>
          <w:rFonts w:ascii="Trebuchet MS" w:hAnsi="Trebuchet MS" w:cs="Arial"/>
          <w:b/>
          <w:bCs/>
          <w:sz w:val="22"/>
          <w:szCs w:val="22"/>
        </w:rPr>
        <w:t xml:space="preserve"> (b) </w:t>
      </w:r>
      <w:r>
        <w:rPr>
          <w:rFonts w:ascii="Trebuchet MS" w:hAnsi="Trebuchet MS" w:cs="Arial"/>
          <w:sz w:val="22"/>
          <w:szCs w:val="22"/>
        </w:rPr>
        <w:t xml:space="preserve">al </w:t>
      </w:r>
      <w:proofErr w:type="spellStart"/>
      <w:r>
        <w:rPr>
          <w:rFonts w:ascii="Trebuchet MS" w:hAnsi="Trebuchet MS" w:cs="Arial"/>
          <w:sz w:val="22"/>
          <w:szCs w:val="22"/>
        </w:rPr>
        <w:t>intervenției</w:t>
      </w:r>
      <w:proofErr w:type="spellEnd"/>
      <w:r>
        <w:rPr>
          <w:rFonts w:ascii="Trebuchet MS" w:hAnsi="Trebuchet MS" w:cs="Arial"/>
          <w:sz w:val="22"/>
          <w:szCs w:val="22"/>
        </w:rPr>
        <w:t>.</w:t>
      </w:r>
    </w:p>
    <w:p w14:paraId="7FEC91E6" w14:textId="77777777" w:rsidR="00E06D1C" w:rsidRDefault="00A14F64">
      <w:pPr>
        <w:pStyle w:val="Default"/>
        <w:spacing w:line="276" w:lineRule="auto"/>
        <w:jc w:val="both"/>
        <w:rPr>
          <w:sz w:val="22"/>
          <w:szCs w:val="22"/>
        </w:rPr>
      </w:pPr>
      <w:r>
        <w:rPr>
          <w:b/>
          <w:bCs/>
          <w:sz w:val="22"/>
          <w:szCs w:val="22"/>
        </w:rPr>
        <w:t xml:space="preserve">(a) </w:t>
      </w:r>
      <w:r>
        <w:rPr>
          <w:sz w:val="22"/>
          <w:szCs w:val="22"/>
        </w:rPr>
        <w:t xml:space="preserve">Sprijinul se va concentra pe realizarea de </w:t>
      </w:r>
      <w:proofErr w:type="spellStart"/>
      <w:r>
        <w:rPr>
          <w:sz w:val="22"/>
          <w:szCs w:val="22"/>
        </w:rPr>
        <w:t>investiţii</w:t>
      </w:r>
      <w:proofErr w:type="spellEnd"/>
      <w:r>
        <w:rPr>
          <w:sz w:val="22"/>
          <w:szCs w:val="22"/>
        </w:rPr>
        <w:t xml:space="preserve"> în domeniul </w:t>
      </w:r>
      <w:proofErr w:type="spellStart"/>
      <w:r>
        <w:rPr>
          <w:sz w:val="22"/>
          <w:szCs w:val="22"/>
        </w:rPr>
        <w:t>producţiei</w:t>
      </w:r>
      <w:proofErr w:type="spellEnd"/>
      <w:r>
        <w:rPr>
          <w:sz w:val="22"/>
          <w:szCs w:val="22"/>
        </w:rPr>
        <w:t xml:space="preserve"> agricole, a procesării, ceea ce va avea ca efect ameliorarea </w:t>
      </w:r>
      <w:proofErr w:type="spellStart"/>
      <w:r>
        <w:rPr>
          <w:sz w:val="22"/>
          <w:szCs w:val="22"/>
        </w:rPr>
        <w:t>performanţei</w:t>
      </w:r>
      <w:proofErr w:type="spellEnd"/>
      <w:r>
        <w:rPr>
          <w:sz w:val="22"/>
          <w:szCs w:val="22"/>
        </w:rPr>
        <w:t xml:space="preserve"> economice a </w:t>
      </w:r>
      <w:proofErr w:type="spellStart"/>
      <w:r>
        <w:rPr>
          <w:sz w:val="22"/>
          <w:szCs w:val="22"/>
        </w:rPr>
        <w:t>exploataţiilor</w:t>
      </w:r>
      <w:proofErr w:type="spellEnd"/>
      <w:r>
        <w:rPr>
          <w:sz w:val="22"/>
          <w:szCs w:val="22"/>
        </w:rPr>
        <w:t xml:space="preserve"> și obținerea de produse procesate cu valoare </w:t>
      </w:r>
      <w:proofErr w:type="spellStart"/>
      <w:r>
        <w:rPr>
          <w:sz w:val="22"/>
          <w:szCs w:val="22"/>
        </w:rPr>
        <w:t>adaugată</w:t>
      </w:r>
      <w:proofErr w:type="spellEnd"/>
      <w:r>
        <w:rPr>
          <w:sz w:val="22"/>
          <w:szCs w:val="22"/>
        </w:rPr>
        <w:t xml:space="preserve"> mare. În acest sens, prin intermediul măsurii se dorește răspândirea utilizării la scara cât mai largă a tehnologiilor eficiente </w:t>
      </w:r>
      <w:proofErr w:type="spellStart"/>
      <w:r>
        <w:rPr>
          <w:sz w:val="22"/>
          <w:szCs w:val="22"/>
        </w:rPr>
        <w:t>şi</w:t>
      </w:r>
      <w:proofErr w:type="spellEnd"/>
      <w:r>
        <w:rPr>
          <w:sz w:val="22"/>
          <w:szCs w:val="22"/>
        </w:rPr>
        <w:t xml:space="preserve"> moderne, și a </w:t>
      </w:r>
      <w:proofErr w:type="spellStart"/>
      <w:r>
        <w:rPr>
          <w:sz w:val="22"/>
          <w:szCs w:val="22"/>
        </w:rPr>
        <w:t>instalaţiilor</w:t>
      </w:r>
      <w:proofErr w:type="spellEnd"/>
      <w:r>
        <w:rPr>
          <w:sz w:val="22"/>
          <w:szCs w:val="22"/>
        </w:rPr>
        <w:t xml:space="preserve"> inovatoare. </w:t>
      </w:r>
    </w:p>
    <w:p w14:paraId="31A60F7B" w14:textId="77777777" w:rsidR="00E06D1C" w:rsidRDefault="00A14F64">
      <w:pPr>
        <w:spacing w:after="0"/>
        <w:jc w:val="both"/>
        <w:rPr>
          <w:rFonts w:ascii="Trebuchet MS" w:hAnsi="Trebuchet MS"/>
          <w:bCs/>
          <w:color w:val="800000"/>
          <w:sz w:val="22"/>
          <w:szCs w:val="22"/>
        </w:rPr>
      </w:pPr>
      <w:proofErr w:type="spellStart"/>
      <w:r>
        <w:rPr>
          <w:rFonts w:ascii="Trebuchet MS" w:hAnsi="Trebuchet MS"/>
          <w:bCs/>
          <w:color w:val="000000"/>
          <w:sz w:val="22"/>
          <w:szCs w:val="22"/>
        </w:rPr>
        <w:t>Proiectele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vor</w:t>
      </w:r>
      <w:proofErr w:type="spellEnd"/>
      <w:r>
        <w:rPr>
          <w:rFonts w:ascii="Trebuchet MS" w:hAnsi="Trebuchet MS"/>
          <w:bCs/>
          <w:color w:val="000000"/>
          <w:sz w:val="22"/>
          <w:szCs w:val="22"/>
        </w:rPr>
        <w:t xml:space="preserve"> fi </w:t>
      </w:r>
      <w:proofErr w:type="spellStart"/>
      <w:r>
        <w:rPr>
          <w:rFonts w:ascii="Trebuchet MS" w:hAnsi="Trebuchet MS"/>
          <w:bCs/>
          <w:color w:val="000000"/>
          <w:sz w:val="22"/>
          <w:szCs w:val="22"/>
        </w:rPr>
        <w:t>finanțate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în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cadrul</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măsurii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vor</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aduce</w:t>
      </w:r>
      <w:proofErr w:type="spellEnd"/>
      <w:r>
        <w:rPr>
          <w:rFonts w:ascii="Trebuchet MS" w:hAnsi="Trebuchet MS"/>
          <w:bCs/>
          <w:color w:val="000000"/>
          <w:sz w:val="22"/>
          <w:szCs w:val="22"/>
        </w:rPr>
        <w:t xml:space="preserve"> un plus de </w:t>
      </w:r>
      <w:proofErr w:type="spellStart"/>
      <w:r>
        <w:rPr>
          <w:rFonts w:ascii="Trebuchet MS" w:hAnsi="Trebuchet MS"/>
          <w:bCs/>
          <w:color w:val="000000"/>
          <w:sz w:val="22"/>
          <w:szCs w:val="22"/>
        </w:rPr>
        <w:t>valoare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teritoriului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prin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prisma</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orientării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capacității</w:t>
      </w:r>
      <w:proofErr w:type="spellEnd"/>
      <w:r>
        <w:rPr>
          <w:rFonts w:ascii="Trebuchet MS" w:hAnsi="Trebuchet MS"/>
          <w:bCs/>
          <w:color w:val="000000"/>
          <w:sz w:val="22"/>
          <w:szCs w:val="22"/>
        </w:rPr>
        <w:t xml:space="preserve"> productive a </w:t>
      </w:r>
      <w:proofErr w:type="spellStart"/>
      <w:r>
        <w:rPr>
          <w:rFonts w:ascii="Trebuchet MS" w:hAnsi="Trebuchet MS"/>
          <w:bCs/>
          <w:color w:val="000000"/>
          <w:sz w:val="22"/>
          <w:szCs w:val="22"/>
        </w:rPr>
        <w:t>fermelor</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în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concordanţă</w:t>
      </w:r>
      <w:proofErr w:type="spellEnd"/>
      <w:r>
        <w:rPr>
          <w:rFonts w:ascii="Trebuchet MS" w:hAnsi="Trebuchet MS"/>
          <w:bCs/>
          <w:color w:val="000000"/>
          <w:sz w:val="22"/>
          <w:szCs w:val="22"/>
        </w:rPr>
        <w:t xml:space="preserve"> cu </w:t>
      </w:r>
      <w:proofErr w:type="spellStart"/>
      <w:r>
        <w:rPr>
          <w:rFonts w:ascii="Trebuchet MS" w:hAnsi="Trebuchet MS"/>
          <w:bCs/>
          <w:color w:val="000000"/>
          <w:sz w:val="22"/>
          <w:szCs w:val="22"/>
        </w:rPr>
        <w:t>potenţialul</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resurselor</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naturale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existente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cât</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și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prin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promovarea</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producţiei</w:t>
      </w:r>
      <w:proofErr w:type="spellEnd"/>
      <w:r>
        <w:rPr>
          <w:rFonts w:ascii="Trebuchet MS" w:hAnsi="Trebuchet MS"/>
          <w:bCs/>
          <w:color w:val="000000"/>
          <w:sz w:val="22"/>
          <w:szCs w:val="22"/>
        </w:rPr>
        <w:t xml:space="preserve">, cu </w:t>
      </w:r>
      <w:proofErr w:type="spellStart"/>
      <w:r>
        <w:rPr>
          <w:rFonts w:ascii="Trebuchet MS" w:hAnsi="Trebuchet MS"/>
          <w:bCs/>
          <w:color w:val="000000"/>
          <w:sz w:val="22"/>
          <w:szCs w:val="22"/>
        </w:rPr>
        <w:t>efecte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imediate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în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ceea</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privește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creşterea</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productivităţii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muncii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şi</w:t>
      </w:r>
      <w:proofErr w:type="spellEnd"/>
      <w:r>
        <w:rPr>
          <w:rFonts w:ascii="Trebuchet MS" w:hAnsi="Trebuchet MS"/>
          <w:bCs/>
          <w:color w:val="000000"/>
          <w:sz w:val="22"/>
          <w:szCs w:val="22"/>
        </w:rPr>
        <w:t xml:space="preserve"> a </w:t>
      </w:r>
      <w:proofErr w:type="spellStart"/>
      <w:r>
        <w:rPr>
          <w:rFonts w:ascii="Trebuchet MS" w:hAnsi="Trebuchet MS"/>
          <w:bCs/>
          <w:color w:val="000000"/>
          <w:sz w:val="22"/>
          <w:szCs w:val="22"/>
        </w:rPr>
        <w:t>gradului</w:t>
      </w:r>
      <w:proofErr w:type="spellEnd"/>
      <w:r>
        <w:rPr>
          <w:rFonts w:ascii="Trebuchet MS" w:hAnsi="Trebuchet MS"/>
          <w:bCs/>
          <w:color w:val="000000"/>
          <w:sz w:val="22"/>
          <w:szCs w:val="22"/>
        </w:rPr>
        <w:t xml:space="preserve"> de </w:t>
      </w:r>
      <w:proofErr w:type="spellStart"/>
      <w:r>
        <w:rPr>
          <w:rFonts w:ascii="Trebuchet MS" w:hAnsi="Trebuchet MS"/>
          <w:bCs/>
          <w:color w:val="000000"/>
          <w:sz w:val="22"/>
          <w:szCs w:val="22"/>
        </w:rPr>
        <w:t>ocupare</w:t>
      </w:r>
      <w:proofErr w:type="spellEnd"/>
      <w:r>
        <w:rPr>
          <w:rFonts w:ascii="Trebuchet MS" w:hAnsi="Trebuchet MS"/>
          <w:bCs/>
          <w:color w:val="000000"/>
          <w:sz w:val="22"/>
          <w:szCs w:val="22"/>
        </w:rPr>
        <w:t xml:space="preserve"> a </w:t>
      </w:r>
      <w:proofErr w:type="spellStart"/>
      <w:r>
        <w:rPr>
          <w:rFonts w:ascii="Trebuchet MS" w:hAnsi="Trebuchet MS"/>
          <w:bCs/>
          <w:color w:val="000000"/>
          <w:sz w:val="22"/>
          <w:szCs w:val="22"/>
        </w:rPr>
        <w:t>forţei</w:t>
      </w:r>
      <w:proofErr w:type="spellEnd"/>
      <w:r>
        <w:rPr>
          <w:rFonts w:ascii="Trebuchet MS" w:hAnsi="Trebuchet MS"/>
          <w:bCs/>
          <w:color w:val="000000"/>
          <w:sz w:val="22"/>
          <w:szCs w:val="22"/>
        </w:rPr>
        <w:t xml:space="preserve"> de </w:t>
      </w:r>
      <w:proofErr w:type="spellStart"/>
      <w:r>
        <w:rPr>
          <w:rFonts w:ascii="Trebuchet MS" w:hAnsi="Trebuchet MS"/>
          <w:bCs/>
          <w:color w:val="000000"/>
          <w:sz w:val="22"/>
          <w:szCs w:val="22"/>
        </w:rPr>
        <w:t>muncă</w:t>
      </w:r>
      <w:proofErr w:type="spellEnd"/>
      <w:r>
        <w:rPr>
          <w:rFonts w:ascii="Trebuchet MS" w:hAnsi="Trebuchet MS"/>
          <w:bCs/>
          <w:color w:val="000000"/>
          <w:sz w:val="22"/>
          <w:szCs w:val="22"/>
        </w:rPr>
        <w:t xml:space="preserve"> din </w:t>
      </w:r>
      <w:proofErr w:type="spellStart"/>
      <w:r>
        <w:rPr>
          <w:rFonts w:ascii="Trebuchet MS" w:hAnsi="Trebuchet MS"/>
          <w:bCs/>
          <w:color w:val="000000"/>
          <w:sz w:val="22"/>
          <w:szCs w:val="22"/>
        </w:rPr>
        <w:t>teritoriu</w:t>
      </w:r>
      <w:proofErr w:type="spellEnd"/>
      <w:r>
        <w:rPr>
          <w:rFonts w:ascii="Trebuchet MS" w:hAnsi="Trebuchet MS"/>
          <w:bCs/>
          <w:color w:val="000000"/>
          <w:sz w:val="22"/>
          <w:szCs w:val="22"/>
        </w:rPr>
        <w:t>.</w:t>
      </w:r>
    </w:p>
    <w:p w14:paraId="4AAC9CF4" w14:textId="77777777" w:rsidR="00E06D1C" w:rsidRDefault="00A14F64">
      <w:pPr>
        <w:spacing w:after="0"/>
        <w:jc w:val="both"/>
        <w:rPr>
          <w:rFonts w:ascii="Trebuchet MS" w:hAnsi="Trebuchet MS"/>
          <w:sz w:val="22"/>
          <w:szCs w:val="22"/>
        </w:rPr>
      </w:pPr>
      <w:proofErr w:type="spellStart"/>
      <w:r>
        <w:rPr>
          <w:rFonts w:ascii="Trebuchet MS" w:hAnsi="Trebuchet MS"/>
          <w:bCs/>
          <w:color w:val="000000"/>
          <w:sz w:val="22"/>
          <w:szCs w:val="22"/>
        </w:rPr>
        <w:t>Caracterul</w:t>
      </w:r>
      <w:proofErr w:type="spellEnd"/>
      <w:r>
        <w:rPr>
          <w:rFonts w:ascii="Trebuchet MS" w:hAnsi="Trebuchet MS"/>
          <w:bCs/>
          <w:color w:val="000000"/>
          <w:sz w:val="22"/>
          <w:szCs w:val="22"/>
        </w:rPr>
        <w:t xml:space="preserve"> </w:t>
      </w:r>
      <w:proofErr w:type="spellStart"/>
      <w:r>
        <w:rPr>
          <w:rFonts w:ascii="Trebuchet MS" w:hAnsi="Trebuchet MS"/>
          <w:b/>
          <w:bCs/>
          <w:color w:val="000000"/>
          <w:sz w:val="22"/>
          <w:szCs w:val="22"/>
        </w:rPr>
        <w:t>inovator</w:t>
      </w:r>
      <w:proofErr w:type="spellEnd"/>
      <w:r>
        <w:rPr>
          <w:rFonts w:ascii="Trebuchet MS" w:hAnsi="Trebuchet MS"/>
          <w:bCs/>
          <w:color w:val="000000"/>
          <w:sz w:val="22"/>
          <w:szCs w:val="22"/>
        </w:rPr>
        <w:t xml:space="preserve"> al m</w:t>
      </w:r>
      <w:proofErr w:type="spellStart"/>
      <w:r>
        <w:rPr>
          <w:rFonts w:ascii="Trebuchet MS" w:hAnsi="Trebuchet MS"/>
          <w:bCs/>
          <w:color w:val="000000"/>
          <w:sz w:val="22"/>
          <w:szCs w:val="22"/>
          <w:lang w:val="ro-RO"/>
        </w:rPr>
        <w:t>ăsurii</w:t>
      </w:r>
      <w:proofErr w:type="spellEnd"/>
      <w:r>
        <w:rPr>
          <w:rFonts w:ascii="Trebuchet MS" w:hAnsi="Trebuchet MS"/>
          <w:bCs/>
          <w:color w:val="000000"/>
          <w:sz w:val="22"/>
          <w:szCs w:val="22"/>
          <w:lang w:val="ro-RO"/>
        </w:rPr>
        <w:t xml:space="preserve"> este dat de faptul că, prin sprijinirea exploatațiilor de dimensiuni mici se va facilita accesul acestora pe piață și se va favoriza utilizarea de către acestea de tehnici, procese și tehnologii noi, inovatoare.</w:t>
      </w:r>
    </w:p>
    <w:p w14:paraId="5B0E0A1D" w14:textId="77777777" w:rsidR="00E06D1C" w:rsidRDefault="00A14F64">
      <w:pPr>
        <w:spacing w:after="0"/>
        <w:jc w:val="both"/>
        <w:rPr>
          <w:rFonts w:ascii="Trebuchet MS" w:hAnsi="Trebuchet MS"/>
          <w:sz w:val="22"/>
          <w:szCs w:val="22"/>
        </w:rPr>
      </w:pPr>
      <w:r>
        <w:rPr>
          <w:rFonts w:ascii="Trebuchet MS" w:hAnsi="Trebuchet MS"/>
          <w:bCs/>
          <w:color w:val="000000"/>
          <w:sz w:val="22"/>
          <w:szCs w:val="22"/>
          <w:lang w:val="ro-RO"/>
        </w:rPr>
        <w:t xml:space="preserve">Operațiunile sprijinite în cadrul măsurii vor contribui la o utilizare eficientă a terenurilor agricole de la nivelul teritoriului, conducând la o activitatea agricolă sustenabilă. De asemenea, măsura propusă promovează utilizarea surselor regenerabile de energie, favorizând reducerea efectelor schimbărilor climatice și contribuind la atingerea obiectivelor transversale </w:t>
      </w:r>
      <w:r>
        <w:rPr>
          <w:rFonts w:ascii="Trebuchet MS" w:hAnsi="Trebuchet MS"/>
          <w:b/>
          <w:bCs/>
          <w:color w:val="000000"/>
          <w:sz w:val="22"/>
          <w:szCs w:val="22"/>
          <w:lang w:val="ro-RO"/>
        </w:rPr>
        <w:t>„</w:t>
      </w:r>
      <w:proofErr w:type="spellStart"/>
      <w:r>
        <w:rPr>
          <w:rFonts w:ascii="Trebuchet MS" w:hAnsi="Trebuchet MS"/>
          <w:b/>
          <w:bCs/>
          <w:color w:val="000000"/>
          <w:sz w:val="22"/>
          <w:szCs w:val="22"/>
        </w:rPr>
        <w:t>mediu</w:t>
      </w:r>
      <w:proofErr w:type="spellEnd"/>
      <w:r>
        <w:rPr>
          <w:rFonts w:ascii="Trebuchet MS" w:hAnsi="Trebuchet MS"/>
          <w:b/>
          <w:bCs/>
          <w:color w:val="000000"/>
          <w:sz w:val="22"/>
          <w:szCs w:val="22"/>
        </w:rPr>
        <w:t xml:space="preserve"> </w:t>
      </w:r>
      <w:r>
        <w:rPr>
          <w:rFonts w:ascii="Trebuchet MS" w:hAnsi="Trebuchet MS"/>
          <w:b/>
          <w:bCs/>
          <w:color w:val="000000"/>
          <w:sz w:val="22"/>
          <w:szCs w:val="22"/>
          <w:lang w:val="ro-RO"/>
        </w:rPr>
        <w:t>și climă.”</w:t>
      </w:r>
    </w:p>
    <w:p w14:paraId="44A6F3B2" w14:textId="77777777" w:rsidR="00E06D1C" w:rsidRDefault="00A14F64">
      <w:pPr>
        <w:pStyle w:val="Default"/>
        <w:spacing w:line="276" w:lineRule="auto"/>
        <w:jc w:val="both"/>
        <w:rPr>
          <w:color w:val="FF3333"/>
          <w:sz w:val="22"/>
          <w:szCs w:val="22"/>
        </w:rPr>
      </w:pPr>
      <w:r>
        <w:rPr>
          <w:bCs/>
          <w:sz w:val="22"/>
          <w:szCs w:val="22"/>
        </w:rPr>
        <w:t xml:space="preserve">Măsura își dovedește relevanța în cadrul strategiei de dezvoltare locală prin capacitatea de a genera un nivel crescut al </w:t>
      </w:r>
      <w:proofErr w:type="spellStart"/>
      <w:r>
        <w:rPr>
          <w:bCs/>
          <w:sz w:val="22"/>
          <w:szCs w:val="22"/>
        </w:rPr>
        <w:t>calităţii</w:t>
      </w:r>
      <w:proofErr w:type="spellEnd"/>
      <w:r>
        <w:rPr>
          <w:bCs/>
          <w:sz w:val="22"/>
          <w:szCs w:val="22"/>
        </w:rPr>
        <w:t xml:space="preserve"> produselor agricole, precum </w:t>
      </w:r>
      <w:proofErr w:type="spellStart"/>
      <w:r>
        <w:rPr>
          <w:bCs/>
          <w:sz w:val="22"/>
          <w:szCs w:val="22"/>
        </w:rPr>
        <w:t>şi</w:t>
      </w:r>
      <w:proofErr w:type="spellEnd"/>
      <w:r>
        <w:rPr>
          <w:bCs/>
          <w:sz w:val="22"/>
          <w:szCs w:val="22"/>
        </w:rPr>
        <w:t xml:space="preserve"> prin </w:t>
      </w:r>
      <w:proofErr w:type="spellStart"/>
      <w:r>
        <w:rPr>
          <w:bCs/>
          <w:sz w:val="22"/>
          <w:szCs w:val="22"/>
        </w:rPr>
        <w:t>îmbunătăţirea</w:t>
      </w:r>
      <w:proofErr w:type="spellEnd"/>
      <w:r>
        <w:rPr>
          <w:bCs/>
          <w:sz w:val="22"/>
          <w:szCs w:val="22"/>
        </w:rPr>
        <w:t xml:space="preserve"> proceselor de </w:t>
      </w:r>
      <w:proofErr w:type="spellStart"/>
      <w:r>
        <w:rPr>
          <w:bCs/>
          <w:sz w:val="22"/>
          <w:szCs w:val="22"/>
        </w:rPr>
        <w:t>producţie</w:t>
      </w:r>
      <w:proofErr w:type="spellEnd"/>
      <w:r>
        <w:rPr>
          <w:bCs/>
          <w:sz w:val="22"/>
          <w:szCs w:val="22"/>
        </w:rPr>
        <w:t>.</w:t>
      </w:r>
    </w:p>
    <w:p w14:paraId="53DFC27D" w14:textId="77777777" w:rsidR="00E06D1C" w:rsidRDefault="00A14F64">
      <w:pPr>
        <w:pStyle w:val="Default"/>
        <w:spacing w:line="276" w:lineRule="auto"/>
        <w:jc w:val="both"/>
        <w:rPr>
          <w:sz w:val="22"/>
          <w:szCs w:val="22"/>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r>
        <w:rPr>
          <w:color w:val="FF3333"/>
          <w:sz w:val="22"/>
          <w:szCs w:val="22"/>
        </w:rPr>
        <w:tab/>
      </w:r>
    </w:p>
    <w:p w14:paraId="4A35128C" w14:textId="77777777" w:rsidR="00E06D1C" w:rsidRDefault="00A14F64">
      <w:pPr>
        <w:pStyle w:val="Default"/>
        <w:spacing w:line="276" w:lineRule="auto"/>
        <w:jc w:val="both"/>
        <w:rPr>
          <w:sz w:val="22"/>
          <w:szCs w:val="22"/>
        </w:rPr>
      </w:pPr>
      <w:proofErr w:type="spellStart"/>
      <w:r>
        <w:rPr>
          <w:sz w:val="22"/>
          <w:szCs w:val="22"/>
          <w:lang w:val="en-US"/>
        </w:rPr>
        <w:t>Criteriile</w:t>
      </w:r>
      <w:proofErr w:type="spellEnd"/>
      <w:r>
        <w:rPr>
          <w:sz w:val="22"/>
          <w:szCs w:val="22"/>
          <w:lang w:val="en-US"/>
        </w:rPr>
        <w:t xml:space="preserve"> de </w:t>
      </w:r>
      <w:proofErr w:type="spellStart"/>
      <w:r>
        <w:rPr>
          <w:sz w:val="22"/>
          <w:szCs w:val="22"/>
          <w:lang w:val="en-US"/>
        </w:rPr>
        <w:t>selec</w:t>
      </w:r>
      <w:proofErr w:type="spellEnd"/>
      <w:r>
        <w:rPr>
          <w:sz w:val="22"/>
          <w:szCs w:val="22"/>
        </w:rPr>
        <w:t>ție propuse vizează asigurarea tratamentului egal al solicitanților, o bună utilizare a resurselor financiare și direcționarea măsurilor în conformitate cu prioritățile SDL în materie de dezvoltare locală.</w:t>
      </w:r>
    </w:p>
    <w:p w14:paraId="7115563B" w14:textId="77777777" w:rsidR="00E06D1C" w:rsidRDefault="00A14F64">
      <w:pPr>
        <w:pStyle w:val="Default"/>
        <w:spacing w:line="276" w:lineRule="auto"/>
        <w:jc w:val="both"/>
        <w:rPr>
          <w:sz w:val="22"/>
          <w:szCs w:val="22"/>
          <w:u w:val="single"/>
        </w:rPr>
      </w:pPr>
      <w:r>
        <w:rPr>
          <w:b/>
          <w:bCs/>
          <w:sz w:val="22"/>
          <w:szCs w:val="22"/>
          <w:u w:val="single"/>
        </w:rPr>
        <w:t xml:space="preserve">Relevanța măsurii </w:t>
      </w:r>
      <w:r>
        <w:rPr>
          <w:sz w:val="22"/>
          <w:szCs w:val="22"/>
          <w:u w:val="single"/>
        </w:rPr>
        <w:t>în cadrul SDL</w:t>
      </w:r>
    </w:p>
    <w:p w14:paraId="5A99F950" w14:textId="77777777" w:rsidR="00E06D1C" w:rsidRDefault="00A14F64">
      <w:pPr>
        <w:pStyle w:val="Default"/>
        <w:spacing w:line="276" w:lineRule="auto"/>
        <w:jc w:val="both"/>
        <w:rPr>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 </w:t>
      </w:r>
      <w:r>
        <w:rPr>
          <w:rFonts w:cs="Arial"/>
          <w:sz w:val="22"/>
          <w:szCs w:val="22"/>
        </w:rPr>
        <w:t xml:space="preserve">Astfel, măsura integrează soluții eficiente la toate </w:t>
      </w:r>
      <w:r>
        <w:rPr>
          <w:rFonts w:cs="Arial"/>
          <w:sz w:val="22"/>
          <w:szCs w:val="22"/>
        </w:rPr>
        <w:lastRenderedPageBreak/>
        <w:t>problemele semnalate la nivelul parteneriatului în ceea ce privește creșterea performanțelor exploatațiilor agricole.</w:t>
      </w:r>
    </w:p>
    <w:p w14:paraId="5FFE50D8" w14:textId="77777777" w:rsidR="00E06D1C" w:rsidRDefault="00A14F64">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3A70660E" w14:textId="77777777" w:rsidR="00E06D1C" w:rsidRDefault="00A14F64">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14:paraId="0507FD08" w14:textId="77777777" w:rsidR="00E06D1C" w:rsidRDefault="00A14F64">
      <w:pPr>
        <w:pStyle w:val="Default"/>
        <w:numPr>
          <w:ilvl w:val="0"/>
          <w:numId w:val="1"/>
        </w:numPr>
        <w:spacing w:line="276" w:lineRule="auto"/>
        <w:jc w:val="both"/>
        <w:rPr>
          <w:sz w:val="22"/>
          <w:szCs w:val="22"/>
        </w:rPr>
      </w:pPr>
      <w:r>
        <w:rPr>
          <w:b/>
          <w:bCs/>
          <w:color w:val="00000A"/>
          <w:sz w:val="22"/>
          <w:szCs w:val="22"/>
        </w:rPr>
        <w:t>Regulamentul (CE) nr. 1242/2008</w:t>
      </w:r>
      <w:r>
        <w:rPr>
          <w:color w:val="00000A"/>
          <w:sz w:val="22"/>
          <w:szCs w:val="22"/>
        </w:rPr>
        <w:t xml:space="preserve"> de stabilire a unei tipologii comunitare pentru exploatații agricole;</w:t>
      </w:r>
    </w:p>
    <w:p w14:paraId="1E82DC7F" w14:textId="77777777" w:rsidR="00E06D1C" w:rsidRDefault="00A14F64">
      <w:pPr>
        <w:pStyle w:val="Default"/>
        <w:numPr>
          <w:ilvl w:val="0"/>
          <w:numId w:val="1"/>
        </w:numPr>
        <w:spacing w:line="276" w:lineRule="auto"/>
        <w:jc w:val="both"/>
        <w:rPr>
          <w:sz w:val="22"/>
          <w:szCs w:val="22"/>
          <w:lang w:val="en-US"/>
        </w:rPr>
      </w:pPr>
      <w:proofErr w:type="spellStart"/>
      <w:r>
        <w:rPr>
          <w:b/>
          <w:bCs/>
          <w:color w:val="00000A"/>
          <w:sz w:val="22"/>
          <w:szCs w:val="22"/>
          <w:lang w:val="en-US"/>
        </w:rPr>
        <w:t>Recomandarea</w:t>
      </w:r>
      <w:proofErr w:type="spellEnd"/>
      <w:r>
        <w:rPr>
          <w:b/>
          <w:bCs/>
          <w:color w:val="00000A"/>
          <w:sz w:val="22"/>
          <w:szCs w:val="22"/>
          <w:lang w:val="en-US"/>
        </w:rPr>
        <w:t xml:space="preserve"> 2003/362/CE din 6 </w:t>
      </w:r>
      <w:proofErr w:type="spellStart"/>
      <w:r>
        <w:rPr>
          <w:b/>
          <w:bCs/>
          <w:color w:val="00000A"/>
          <w:sz w:val="22"/>
          <w:szCs w:val="22"/>
          <w:lang w:val="en-US"/>
        </w:rPr>
        <w:t>mai</w:t>
      </w:r>
      <w:proofErr w:type="spellEnd"/>
      <w:r>
        <w:rPr>
          <w:b/>
          <w:bCs/>
          <w:color w:val="00000A"/>
          <w:sz w:val="22"/>
          <w:szCs w:val="22"/>
          <w:lang w:val="en-US"/>
        </w:rPr>
        <w:t xml:space="preserve"> 2003</w:t>
      </w:r>
      <w:r>
        <w:rPr>
          <w:color w:val="00000A"/>
          <w:sz w:val="22"/>
          <w:szCs w:val="22"/>
          <w:lang w:val="en-US"/>
        </w:rPr>
        <w:t xml:space="preserve"> </w:t>
      </w:r>
      <w:proofErr w:type="spellStart"/>
      <w:r>
        <w:rPr>
          <w:color w:val="00000A"/>
          <w:sz w:val="22"/>
          <w:szCs w:val="22"/>
          <w:lang w:val="en-US"/>
        </w:rPr>
        <w:t>privind</w:t>
      </w:r>
      <w:proofErr w:type="spellEnd"/>
      <w:r>
        <w:rPr>
          <w:color w:val="00000A"/>
          <w:sz w:val="22"/>
          <w:szCs w:val="22"/>
          <w:lang w:val="en-US"/>
        </w:rPr>
        <w:t xml:space="preserve"> </w:t>
      </w:r>
      <w:proofErr w:type="spellStart"/>
      <w:r>
        <w:rPr>
          <w:color w:val="00000A"/>
          <w:sz w:val="22"/>
          <w:szCs w:val="22"/>
          <w:lang w:val="en-US"/>
        </w:rPr>
        <w:t>definirea</w:t>
      </w:r>
      <w:proofErr w:type="spellEnd"/>
      <w:r>
        <w:rPr>
          <w:color w:val="00000A"/>
          <w:sz w:val="22"/>
          <w:szCs w:val="22"/>
          <w:lang w:val="en-US"/>
        </w:rPr>
        <w:t xml:space="preserve"> micro-</w:t>
      </w:r>
      <w:r>
        <w:rPr>
          <w:color w:val="00000A"/>
          <w:sz w:val="22"/>
          <w:szCs w:val="22"/>
        </w:rPr>
        <w:t>întreprinderilor și a întreprinderilor mici și mijlocii;</w:t>
      </w:r>
    </w:p>
    <w:p w14:paraId="1D51BDA5" w14:textId="77777777" w:rsidR="00E06D1C" w:rsidRDefault="00A14F64">
      <w:pPr>
        <w:pStyle w:val="Default"/>
        <w:numPr>
          <w:ilvl w:val="0"/>
          <w:numId w:val="1"/>
        </w:numPr>
        <w:spacing w:line="276" w:lineRule="auto"/>
        <w:jc w:val="both"/>
        <w:rPr>
          <w:sz w:val="22"/>
          <w:szCs w:val="22"/>
          <w:lang w:val="en-US"/>
        </w:rPr>
      </w:pPr>
      <w:proofErr w:type="spellStart"/>
      <w:r>
        <w:rPr>
          <w:b/>
          <w:bCs/>
          <w:color w:val="00000A"/>
          <w:sz w:val="22"/>
          <w:szCs w:val="22"/>
          <w:lang w:val="en-US"/>
        </w:rPr>
        <w:t>Legea</w:t>
      </w:r>
      <w:proofErr w:type="spellEnd"/>
      <w:r>
        <w:rPr>
          <w:b/>
          <w:bCs/>
          <w:color w:val="00000A"/>
          <w:sz w:val="22"/>
          <w:szCs w:val="22"/>
          <w:lang w:val="en-US"/>
        </w:rPr>
        <w:t xml:space="preserve"> nr. 346/2004</w:t>
      </w:r>
      <w:r>
        <w:rPr>
          <w:color w:val="00000A"/>
          <w:sz w:val="22"/>
          <w:szCs w:val="22"/>
          <w:lang w:val="en-US"/>
        </w:rPr>
        <w:t xml:space="preserve"> </w:t>
      </w:r>
      <w:proofErr w:type="spellStart"/>
      <w:r>
        <w:rPr>
          <w:color w:val="00000A"/>
          <w:sz w:val="22"/>
          <w:szCs w:val="22"/>
          <w:lang w:val="en-US"/>
        </w:rPr>
        <w:t>privind</w:t>
      </w:r>
      <w:proofErr w:type="spellEnd"/>
      <w:r>
        <w:rPr>
          <w:color w:val="00000A"/>
          <w:sz w:val="22"/>
          <w:szCs w:val="22"/>
          <w:lang w:val="en-US"/>
        </w:rPr>
        <w:t xml:space="preserve"> </w:t>
      </w:r>
      <w:proofErr w:type="spellStart"/>
      <w:r>
        <w:rPr>
          <w:color w:val="00000A"/>
          <w:sz w:val="22"/>
          <w:szCs w:val="22"/>
          <w:lang w:val="en-US"/>
        </w:rPr>
        <w:t>stimularea</w:t>
      </w:r>
      <w:proofErr w:type="spellEnd"/>
      <w:r>
        <w:rPr>
          <w:color w:val="00000A"/>
          <w:sz w:val="22"/>
          <w:szCs w:val="22"/>
          <w:lang w:val="en-US"/>
        </w:rPr>
        <w:t xml:space="preserve"> </w:t>
      </w:r>
      <w:r>
        <w:rPr>
          <w:color w:val="00000A"/>
          <w:sz w:val="22"/>
          <w:szCs w:val="22"/>
        </w:rPr>
        <w:t>înființării și dezvoltării întreprinderilor mici și mijlocii cu modificările și completările ulterioare;</w:t>
      </w:r>
    </w:p>
    <w:p w14:paraId="63E51DAF" w14:textId="77777777" w:rsidR="00E06D1C" w:rsidRDefault="00A14F64">
      <w:pPr>
        <w:pStyle w:val="Default"/>
        <w:numPr>
          <w:ilvl w:val="0"/>
          <w:numId w:val="1"/>
        </w:numPr>
        <w:spacing w:line="276" w:lineRule="auto"/>
        <w:jc w:val="both"/>
        <w:rPr>
          <w:sz w:val="22"/>
          <w:szCs w:val="22"/>
        </w:rPr>
      </w:pPr>
      <w:r>
        <w:rPr>
          <w:b/>
          <w:bCs/>
          <w:color w:val="00000A"/>
          <w:sz w:val="22"/>
          <w:szCs w:val="22"/>
        </w:rPr>
        <w:t>Ordonanță de urgență nr. 44/2008</w:t>
      </w:r>
      <w:r>
        <w:rPr>
          <w:color w:val="00000A"/>
          <w:sz w:val="22"/>
          <w:szCs w:val="22"/>
        </w:rPr>
        <w:t xml:space="preserve"> privind desfășurarea activităților economice de către persoanele fizice autorizate, întreprinderile individuale și întreprinderile familiale cu modificările și completările ulterioare.</w:t>
      </w:r>
    </w:p>
    <w:p w14:paraId="67B0ABFF" w14:textId="77777777" w:rsidR="00E06D1C" w:rsidRDefault="00A14F64">
      <w:pPr>
        <w:pStyle w:val="Default"/>
        <w:numPr>
          <w:ilvl w:val="0"/>
          <w:numId w:val="1"/>
        </w:numPr>
        <w:spacing w:line="276" w:lineRule="auto"/>
        <w:jc w:val="both"/>
        <w:rPr>
          <w:sz w:val="22"/>
          <w:szCs w:val="22"/>
        </w:rPr>
      </w:pPr>
      <w:r>
        <w:rPr>
          <w:b/>
          <w:bCs/>
          <w:color w:val="00000A"/>
          <w:sz w:val="22"/>
          <w:szCs w:val="22"/>
        </w:rPr>
        <w:t xml:space="preserve">Ordin nr. 22/2011 </w:t>
      </w:r>
      <w:r>
        <w:rPr>
          <w:color w:val="00000A"/>
          <w:sz w:val="22"/>
          <w:szCs w:val="22"/>
        </w:rPr>
        <w:t>al Ministrului Agriculturii și Dezvoltării Rurale privind reorganizarea Registrului fermelor, care devine Registrul unic de identificare, în vederea accesării măsurilor reglementate de Politica Agricolă Comună;</w:t>
      </w:r>
    </w:p>
    <w:p w14:paraId="7FC34547" w14:textId="77777777" w:rsidR="00E06D1C" w:rsidRDefault="00A14F64">
      <w:pPr>
        <w:pStyle w:val="Default"/>
        <w:numPr>
          <w:ilvl w:val="0"/>
          <w:numId w:val="1"/>
        </w:numPr>
        <w:spacing w:line="276" w:lineRule="auto"/>
        <w:jc w:val="both"/>
        <w:rPr>
          <w:sz w:val="22"/>
          <w:szCs w:val="22"/>
        </w:rPr>
      </w:pPr>
      <w:r>
        <w:rPr>
          <w:b/>
          <w:bCs/>
          <w:color w:val="00000A"/>
          <w:sz w:val="22"/>
          <w:szCs w:val="22"/>
        </w:rPr>
        <w:t>Ordonanță de urgență nr. 43/2013</w:t>
      </w:r>
      <w:r>
        <w:rPr>
          <w:color w:val="00000A"/>
          <w:sz w:val="22"/>
          <w:szCs w:val="22"/>
        </w:rPr>
        <w:t xml:space="preserve"> privind unele măsuri pentru dezvoltarea și susținerea fermelor de familie și facilitarea accesului la finanțare al fermierilor;</w:t>
      </w:r>
    </w:p>
    <w:p w14:paraId="0145A75D" w14:textId="77777777" w:rsidR="00E06D1C" w:rsidRDefault="00A14F64">
      <w:pPr>
        <w:pStyle w:val="Default"/>
        <w:numPr>
          <w:ilvl w:val="0"/>
          <w:numId w:val="1"/>
        </w:numPr>
        <w:spacing w:line="276" w:lineRule="auto"/>
        <w:jc w:val="both"/>
        <w:rPr>
          <w:sz w:val="22"/>
          <w:szCs w:val="22"/>
        </w:rPr>
      </w:pPr>
      <w:r>
        <w:rPr>
          <w:b/>
          <w:bCs/>
          <w:color w:val="00000A"/>
          <w:sz w:val="22"/>
          <w:szCs w:val="22"/>
        </w:rPr>
        <w:t>Reg. (UE) nr. 1305/2013</w:t>
      </w:r>
      <w:r>
        <w:rPr>
          <w:color w:val="00000A"/>
          <w:sz w:val="22"/>
          <w:szCs w:val="22"/>
        </w:rPr>
        <w:t>;</w:t>
      </w:r>
    </w:p>
    <w:p w14:paraId="683243EB" w14:textId="77777777" w:rsidR="00E06D1C" w:rsidRDefault="00A14F64">
      <w:pPr>
        <w:pStyle w:val="Default"/>
        <w:numPr>
          <w:ilvl w:val="0"/>
          <w:numId w:val="1"/>
        </w:numPr>
        <w:spacing w:line="276" w:lineRule="auto"/>
        <w:jc w:val="both"/>
        <w:rPr>
          <w:sz w:val="22"/>
          <w:szCs w:val="22"/>
        </w:rPr>
      </w:pPr>
      <w:r>
        <w:rPr>
          <w:b/>
          <w:bCs/>
          <w:color w:val="00000A"/>
          <w:sz w:val="22"/>
          <w:szCs w:val="22"/>
        </w:rPr>
        <w:t>Reg. (UE) nr. 1303/2013</w:t>
      </w:r>
      <w:r>
        <w:rPr>
          <w:color w:val="00000A"/>
          <w:sz w:val="22"/>
          <w:szCs w:val="22"/>
        </w:rPr>
        <w:t>;</w:t>
      </w:r>
    </w:p>
    <w:p w14:paraId="6B6483DC" w14:textId="77777777" w:rsidR="00E06D1C" w:rsidRDefault="00A14F64">
      <w:pPr>
        <w:pStyle w:val="Default"/>
        <w:numPr>
          <w:ilvl w:val="0"/>
          <w:numId w:val="1"/>
        </w:numPr>
        <w:spacing w:line="276" w:lineRule="auto"/>
        <w:jc w:val="both"/>
        <w:rPr>
          <w:sz w:val="22"/>
          <w:szCs w:val="22"/>
        </w:rPr>
      </w:pPr>
      <w:r>
        <w:rPr>
          <w:b/>
          <w:bCs/>
          <w:color w:val="00000A"/>
          <w:sz w:val="22"/>
          <w:szCs w:val="22"/>
        </w:rPr>
        <w:t>Reg. (UE) nr. 807/2014</w:t>
      </w:r>
      <w:r>
        <w:rPr>
          <w:color w:val="00000A"/>
          <w:sz w:val="22"/>
          <w:szCs w:val="22"/>
        </w:rPr>
        <w:t>;</w:t>
      </w:r>
    </w:p>
    <w:p w14:paraId="0A236D09" w14:textId="77777777" w:rsidR="00E06D1C" w:rsidRDefault="00A14F64">
      <w:pPr>
        <w:pStyle w:val="Default"/>
        <w:numPr>
          <w:ilvl w:val="0"/>
          <w:numId w:val="1"/>
        </w:numPr>
        <w:spacing w:line="276" w:lineRule="auto"/>
        <w:jc w:val="both"/>
        <w:rPr>
          <w:sz w:val="22"/>
          <w:szCs w:val="22"/>
        </w:rPr>
      </w:pPr>
      <w:r>
        <w:rPr>
          <w:b/>
          <w:bCs/>
          <w:color w:val="00000A"/>
          <w:sz w:val="22"/>
          <w:szCs w:val="22"/>
        </w:rPr>
        <w:t>Reg. (UE) nr. 808/2014</w:t>
      </w:r>
      <w:r>
        <w:rPr>
          <w:color w:val="00000A"/>
          <w:sz w:val="22"/>
          <w:szCs w:val="22"/>
        </w:rPr>
        <w:t>.</w:t>
      </w:r>
      <w:r>
        <w:rPr>
          <w:sz w:val="22"/>
          <w:szCs w:val="22"/>
        </w:rPr>
        <w:t xml:space="preserve">    </w:t>
      </w:r>
    </w:p>
    <w:p w14:paraId="0C1AAB25" w14:textId="77777777" w:rsidR="00E06D1C" w:rsidRDefault="00A14F64">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762458BE" w14:textId="77777777" w:rsidR="00E06D1C" w:rsidRDefault="00A14F64">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6B6D7AF7" w14:textId="77777777" w:rsidR="003576D0" w:rsidRPr="003576D0" w:rsidRDefault="00A14F64">
      <w:pPr>
        <w:pStyle w:val="Default"/>
        <w:tabs>
          <w:tab w:val="left" w:pos="338"/>
          <w:tab w:val="left" w:pos="1138"/>
        </w:tabs>
        <w:spacing w:line="276" w:lineRule="auto"/>
        <w:jc w:val="both"/>
        <w:rPr>
          <w:color w:val="FF0000"/>
          <w:sz w:val="22"/>
          <w:szCs w:val="22"/>
        </w:rPr>
      </w:pPr>
      <w:r w:rsidRPr="0091486C">
        <w:rPr>
          <w:sz w:val="22"/>
          <w:szCs w:val="22"/>
        </w:rPr>
        <w:t xml:space="preserve"> </w:t>
      </w:r>
      <w:r w:rsidRPr="0091486C">
        <w:rPr>
          <w:b/>
          <w:bCs/>
          <w:color w:val="00000A"/>
          <w:sz w:val="22"/>
          <w:szCs w:val="22"/>
        </w:rPr>
        <w:t>Entități private:</w:t>
      </w:r>
      <w:r w:rsidRPr="0091486C">
        <w:rPr>
          <w:color w:val="00000A"/>
          <w:sz w:val="22"/>
          <w:szCs w:val="22"/>
        </w:rPr>
        <w:t xml:space="preserve"> fermieri care au drept de proprietate și/sau drept de folosință pentru o exploatație agricolă care intră în categoria de fermă mică după definiția dată de regulamentul UE, cu excepția persoanelor fizice neautorizate.</w:t>
      </w:r>
      <w:r w:rsidR="003576D0">
        <w:rPr>
          <w:color w:val="00000A"/>
          <w:sz w:val="22"/>
          <w:szCs w:val="22"/>
        </w:rPr>
        <w:t xml:space="preserve"> </w:t>
      </w:r>
    </w:p>
    <w:p w14:paraId="62133F01" w14:textId="77777777" w:rsidR="00A371CF" w:rsidRPr="00C737CC" w:rsidRDefault="00A371CF" w:rsidP="00A371CF">
      <w:pPr>
        <w:pStyle w:val="Default"/>
        <w:tabs>
          <w:tab w:val="left" w:pos="338"/>
          <w:tab w:val="left" w:pos="1138"/>
        </w:tabs>
        <w:spacing w:line="276" w:lineRule="auto"/>
        <w:jc w:val="both"/>
        <w:rPr>
          <w:b/>
          <w:color w:val="auto"/>
          <w:sz w:val="22"/>
          <w:szCs w:val="22"/>
        </w:rPr>
      </w:pPr>
      <w:r w:rsidRPr="00C737CC">
        <w:rPr>
          <w:b/>
          <w:color w:val="auto"/>
          <w:sz w:val="22"/>
          <w:szCs w:val="22"/>
        </w:rPr>
        <w:t>Beneficiari indirecți:</w:t>
      </w:r>
    </w:p>
    <w:p w14:paraId="1764EB26" w14:textId="77777777" w:rsidR="00A371CF" w:rsidRPr="00C737CC" w:rsidRDefault="00A371CF" w:rsidP="00A371CF">
      <w:pPr>
        <w:pStyle w:val="Default"/>
        <w:tabs>
          <w:tab w:val="left" w:pos="338"/>
          <w:tab w:val="left" w:pos="1138"/>
        </w:tabs>
        <w:spacing w:line="276" w:lineRule="auto"/>
        <w:jc w:val="both"/>
        <w:rPr>
          <w:b/>
          <w:color w:val="auto"/>
          <w:sz w:val="22"/>
          <w:szCs w:val="22"/>
        </w:rPr>
      </w:pPr>
      <w:r w:rsidRPr="00C737CC">
        <w:rPr>
          <w:color w:val="auto"/>
          <w:sz w:val="22"/>
          <w:szCs w:val="22"/>
        </w:rPr>
        <w:t> Entități publice sau private (inclusiv ONG-uri) care activează în domeniul formării profesionale a adulților, beneficiari de sprijin în cadrul măsurii M1 din cadrul SDL.</w:t>
      </w:r>
    </w:p>
    <w:p w14:paraId="159DC5DB" w14:textId="77777777" w:rsidR="00A371CF" w:rsidRDefault="00A371CF" w:rsidP="00A371CF">
      <w:pPr>
        <w:pStyle w:val="Default"/>
        <w:spacing w:line="276" w:lineRule="auto"/>
        <w:jc w:val="both"/>
        <w:rPr>
          <w:color w:val="auto"/>
          <w:sz w:val="22"/>
          <w:szCs w:val="22"/>
        </w:rPr>
      </w:pPr>
      <w:r w:rsidRPr="00C737CC">
        <w:rPr>
          <w:color w:val="auto"/>
          <w:sz w:val="22"/>
          <w:szCs w:val="22"/>
        </w:rPr>
        <w:t></w:t>
      </w:r>
      <w:r>
        <w:rPr>
          <w:color w:val="auto"/>
          <w:sz w:val="22"/>
          <w:szCs w:val="22"/>
        </w:rPr>
        <w:t xml:space="preserve"> Populația din teritoriul GAL Sudul Gorjului.</w:t>
      </w:r>
    </w:p>
    <w:p w14:paraId="60BC2D1C" w14:textId="77777777" w:rsidR="00A371CF" w:rsidRDefault="00A371CF">
      <w:pPr>
        <w:pStyle w:val="Default"/>
        <w:tabs>
          <w:tab w:val="left" w:pos="338"/>
          <w:tab w:val="left" w:pos="1138"/>
        </w:tabs>
        <w:spacing w:line="276" w:lineRule="auto"/>
        <w:jc w:val="both"/>
        <w:rPr>
          <w:color w:val="00000A"/>
          <w:sz w:val="22"/>
          <w:szCs w:val="22"/>
        </w:rPr>
      </w:pPr>
    </w:p>
    <w:p w14:paraId="2E1B811C" w14:textId="77777777" w:rsidR="00E06D1C" w:rsidRDefault="00A14F64">
      <w:pPr>
        <w:pStyle w:val="Default"/>
        <w:shd w:val="clear" w:color="auto" w:fill="E5DFEC" w:themeFill="accent4" w:themeFillTint="33"/>
        <w:spacing w:line="276" w:lineRule="auto"/>
        <w:rPr>
          <w:sz w:val="22"/>
          <w:szCs w:val="22"/>
        </w:rPr>
      </w:pPr>
      <w:r>
        <w:rPr>
          <w:b/>
          <w:bCs/>
          <w:sz w:val="22"/>
          <w:szCs w:val="22"/>
        </w:rPr>
        <w:t xml:space="preserve">5. Tip de sprijin </w:t>
      </w:r>
    </w:p>
    <w:p w14:paraId="7034E543" w14:textId="77777777" w:rsidR="00E06D1C" w:rsidRDefault="00A14F64">
      <w:pPr>
        <w:pStyle w:val="Default"/>
        <w:spacing w:line="276" w:lineRule="auto"/>
        <w:jc w:val="both"/>
        <w:rPr>
          <w:sz w:val="22"/>
          <w:szCs w:val="22"/>
        </w:rPr>
      </w:pPr>
      <w:r>
        <w:rPr>
          <w:color w:val="00000A"/>
          <w:sz w:val="22"/>
          <w:szCs w:val="22"/>
        </w:rPr>
        <w:t xml:space="preserve">Sprijinul se va acorda sub formă de </w:t>
      </w:r>
      <w:r>
        <w:rPr>
          <w:b/>
          <w:bCs/>
          <w:color w:val="00000A"/>
          <w:sz w:val="22"/>
          <w:szCs w:val="22"/>
        </w:rPr>
        <w:t>sumă forfetară</w:t>
      </w:r>
      <w:r>
        <w:rPr>
          <w:color w:val="00000A"/>
          <w:sz w:val="22"/>
          <w:szCs w:val="22"/>
        </w:rPr>
        <w:t xml:space="preserve"> pentru implementarea planului de afaceri.</w:t>
      </w:r>
    </w:p>
    <w:p w14:paraId="384C303B" w14:textId="77777777" w:rsidR="00E06D1C" w:rsidRDefault="00A14F64">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14:paraId="5DE308B2" w14:textId="77777777" w:rsidR="00E06D1C" w:rsidRDefault="00A14F64">
      <w:pPr>
        <w:pStyle w:val="Default"/>
        <w:spacing w:line="276" w:lineRule="auto"/>
        <w:jc w:val="both"/>
        <w:rPr>
          <w:sz w:val="22"/>
          <w:szCs w:val="22"/>
        </w:rPr>
      </w:pPr>
      <w:r>
        <w:rPr>
          <w:b/>
          <w:bCs/>
          <w:sz w:val="22"/>
          <w:szCs w:val="22"/>
        </w:rPr>
        <w:t>Acțiuni eligibile:</w:t>
      </w:r>
    </w:p>
    <w:p w14:paraId="69D17685" w14:textId="77777777" w:rsidR="00E06D1C" w:rsidRDefault="00A14F64">
      <w:pPr>
        <w:pStyle w:val="Default"/>
        <w:spacing w:line="276" w:lineRule="auto"/>
        <w:jc w:val="both"/>
        <w:rPr>
          <w:sz w:val="22"/>
          <w:szCs w:val="22"/>
        </w:rPr>
      </w:pPr>
      <w:r>
        <w:rPr>
          <w:bCs/>
          <w:color w:val="00000A"/>
          <w:sz w:val="22"/>
          <w:szCs w:val="22"/>
        </w:rPr>
        <w:t>Sprijinul se acordă pentru activitățile prevăzute în vederea îndeplinirii obiectivelor din cadrul Planului de Afaceri. Toate cheltuielile propuse prin cererea de finanțare, inclusiv capital de lucru și capitalizarea întreprinderii și activitățile relevante pentru implementarea corectă a planului prezentate în planul de afaceri, pot fi eligibile.</w:t>
      </w:r>
    </w:p>
    <w:p w14:paraId="23BCAEB3" w14:textId="77777777" w:rsidR="00E06D1C" w:rsidRDefault="00A14F64">
      <w:pPr>
        <w:pStyle w:val="ListParagraph"/>
        <w:spacing w:after="0"/>
        <w:ind w:left="0"/>
        <w:jc w:val="both"/>
        <w:rPr>
          <w:rFonts w:ascii="Trebuchet MS" w:hAnsi="Trebuchet MS"/>
          <w:sz w:val="22"/>
          <w:szCs w:val="22"/>
        </w:rPr>
      </w:pPr>
      <w:proofErr w:type="spellStart"/>
      <w:r>
        <w:rPr>
          <w:rFonts w:ascii="Trebuchet MS" w:hAnsi="Trebuchet MS"/>
          <w:b/>
          <w:bCs/>
          <w:sz w:val="22"/>
          <w:szCs w:val="22"/>
        </w:rPr>
        <w:t>Acțiuni</w:t>
      </w:r>
      <w:proofErr w:type="spellEnd"/>
      <w:r>
        <w:rPr>
          <w:rFonts w:ascii="Trebuchet MS" w:hAnsi="Trebuchet MS"/>
          <w:b/>
          <w:bCs/>
          <w:sz w:val="22"/>
          <w:szCs w:val="22"/>
        </w:rPr>
        <w:t xml:space="preserve"> </w:t>
      </w:r>
      <w:proofErr w:type="spellStart"/>
      <w:r>
        <w:rPr>
          <w:rFonts w:ascii="Trebuchet MS" w:hAnsi="Trebuchet MS"/>
          <w:b/>
          <w:bCs/>
          <w:sz w:val="22"/>
          <w:szCs w:val="22"/>
        </w:rPr>
        <w:t>neeligibile</w:t>
      </w:r>
      <w:proofErr w:type="spellEnd"/>
      <w:r>
        <w:rPr>
          <w:rFonts w:ascii="Trebuchet MS" w:hAnsi="Trebuchet MS"/>
          <w:b/>
          <w:bCs/>
          <w:sz w:val="22"/>
          <w:szCs w:val="22"/>
        </w:rPr>
        <w:t>:</w:t>
      </w:r>
    </w:p>
    <w:p w14:paraId="1886CF76" w14:textId="77777777" w:rsidR="00A371CF" w:rsidRDefault="00A371CF" w:rsidP="00A371CF">
      <w:pPr>
        <w:pStyle w:val="ListParagraph"/>
        <w:spacing w:after="0"/>
        <w:ind w:left="0"/>
        <w:jc w:val="both"/>
        <w:rPr>
          <w:rFonts w:ascii="Trebuchet MS" w:hAnsi="Trebuchet MS"/>
          <w:color w:val="000000" w:themeColor="text1"/>
          <w:sz w:val="22"/>
          <w:szCs w:val="22"/>
        </w:rPr>
      </w:pPr>
      <w:r w:rsidRPr="0044753C">
        <w:rPr>
          <w:rFonts w:ascii="Trebuchet MS" w:hAnsi="Trebuchet MS"/>
          <w:color w:val="FF0000"/>
          <w:sz w:val="22"/>
          <w:szCs w:val="22"/>
        </w:rPr>
        <w:t></w:t>
      </w:r>
      <w:r>
        <w:rPr>
          <w:rFonts w:ascii="Trebuchet MS" w:hAnsi="Trebuchet MS"/>
          <w:color w:val="FF0000"/>
          <w:sz w:val="22"/>
          <w:szCs w:val="22"/>
        </w:rPr>
        <w:t xml:space="preserve"> </w:t>
      </w:r>
      <w:proofErr w:type="spellStart"/>
      <w:r>
        <w:rPr>
          <w:rFonts w:ascii="Trebuchet MS" w:hAnsi="Trebuchet MS"/>
          <w:color w:val="000000" w:themeColor="text1"/>
          <w:sz w:val="22"/>
          <w:szCs w:val="22"/>
        </w:rPr>
        <w:t>În</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vederea</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modernizării</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dezvoltării</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exploataţiei</w:t>
      </w:r>
      <w:proofErr w:type="spellEnd"/>
      <w:r>
        <w:rPr>
          <w:rFonts w:ascii="Trebuchet MS" w:hAnsi="Trebuchet MS"/>
          <w:color w:val="000000" w:themeColor="text1"/>
          <w:sz w:val="22"/>
          <w:szCs w:val="22"/>
        </w:rPr>
        <w:t xml:space="preserve"> nu sunt </w:t>
      </w:r>
      <w:proofErr w:type="spellStart"/>
      <w:r>
        <w:rPr>
          <w:rFonts w:ascii="Trebuchet MS" w:hAnsi="Trebuchet MS"/>
          <w:color w:val="000000" w:themeColor="text1"/>
          <w:sz w:val="22"/>
          <w:szCs w:val="22"/>
        </w:rPr>
        <w:t>permise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acţiuni</w:t>
      </w:r>
      <w:proofErr w:type="spellEnd"/>
      <w:r>
        <w:rPr>
          <w:rFonts w:ascii="Trebuchet MS" w:hAnsi="Trebuchet MS"/>
          <w:color w:val="000000" w:themeColor="text1"/>
          <w:sz w:val="22"/>
          <w:szCs w:val="22"/>
        </w:rPr>
        <w:t xml:space="preserve"> care </w:t>
      </w:r>
      <w:proofErr w:type="spellStart"/>
      <w:r>
        <w:rPr>
          <w:rFonts w:ascii="Trebuchet MS" w:hAnsi="Trebuchet MS"/>
          <w:color w:val="000000" w:themeColor="text1"/>
          <w:sz w:val="22"/>
          <w:szCs w:val="22"/>
        </w:rPr>
        <w:t>să</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prevadă</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cheltuieli</w:t>
      </w:r>
      <w:proofErr w:type="spellEnd"/>
      <w:r>
        <w:rPr>
          <w:rFonts w:ascii="Trebuchet MS" w:hAnsi="Trebuchet MS"/>
          <w:color w:val="000000" w:themeColor="text1"/>
          <w:sz w:val="22"/>
          <w:szCs w:val="22"/>
        </w:rPr>
        <w:t xml:space="preserve"> cu </w:t>
      </w:r>
      <w:proofErr w:type="spellStart"/>
      <w:r>
        <w:rPr>
          <w:rFonts w:ascii="Trebuchet MS" w:hAnsi="Trebuchet MS"/>
          <w:color w:val="000000" w:themeColor="text1"/>
          <w:sz w:val="22"/>
          <w:szCs w:val="22"/>
        </w:rPr>
        <w:t>echipamente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sau</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utilaje</w:t>
      </w:r>
      <w:proofErr w:type="spellEnd"/>
      <w:r>
        <w:rPr>
          <w:rFonts w:ascii="Trebuchet MS" w:hAnsi="Trebuchet MS"/>
          <w:color w:val="000000" w:themeColor="text1"/>
          <w:sz w:val="22"/>
          <w:szCs w:val="22"/>
        </w:rPr>
        <w:t xml:space="preserve"> second-hand;</w:t>
      </w:r>
    </w:p>
    <w:p w14:paraId="06D1B1D2" w14:textId="77777777" w:rsidR="00A371CF" w:rsidRDefault="00A371CF" w:rsidP="00A371CF">
      <w:pPr>
        <w:pStyle w:val="ListParagraph"/>
        <w:spacing w:after="0"/>
        <w:ind w:left="0"/>
        <w:jc w:val="both"/>
        <w:rPr>
          <w:rFonts w:ascii="Trebuchet MS" w:hAnsi="Trebuchet MS"/>
          <w:color w:val="000000" w:themeColor="text1"/>
          <w:sz w:val="22"/>
          <w:szCs w:val="22"/>
        </w:rPr>
      </w:pPr>
      <w:r w:rsidRPr="0044753C">
        <w:rPr>
          <w:rFonts w:ascii="Trebuchet MS" w:hAnsi="Trebuchet MS"/>
          <w:color w:val="FF0000"/>
          <w:sz w:val="22"/>
          <w:szCs w:val="22"/>
        </w:rPr>
        <w:t></w:t>
      </w:r>
      <w:r>
        <w:rPr>
          <w:rFonts w:ascii="Trebuchet MS" w:hAnsi="Trebuchet MS"/>
          <w:color w:val="FF0000"/>
          <w:sz w:val="22"/>
          <w:szCs w:val="22"/>
        </w:rPr>
        <w:t xml:space="preserve"> </w:t>
      </w:r>
      <w:r>
        <w:rPr>
          <w:rFonts w:ascii="Trebuchet MS" w:hAnsi="Trebuchet MS"/>
          <w:color w:val="000000" w:themeColor="text1"/>
          <w:sz w:val="22"/>
          <w:szCs w:val="22"/>
        </w:rPr>
        <w:t xml:space="preserve">Nu pot fi </w:t>
      </w:r>
      <w:proofErr w:type="spellStart"/>
      <w:r>
        <w:rPr>
          <w:rFonts w:ascii="Trebuchet MS" w:hAnsi="Trebuchet MS"/>
          <w:color w:val="000000" w:themeColor="text1"/>
          <w:sz w:val="22"/>
          <w:szCs w:val="22"/>
        </w:rPr>
        <w:t>finanțate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atât</w:t>
      </w:r>
      <w:proofErr w:type="spellEnd"/>
      <w:r>
        <w:rPr>
          <w:rFonts w:ascii="Trebuchet MS" w:hAnsi="Trebuchet MS"/>
          <w:color w:val="000000" w:themeColor="text1"/>
          <w:sz w:val="22"/>
          <w:szCs w:val="22"/>
        </w:rPr>
        <w:t xml:space="preserve"> din PNDR </w:t>
      </w:r>
      <w:proofErr w:type="spellStart"/>
      <w:r>
        <w:rPr>
          <w:rFonts w:ascii="Trebuchet MS" w:hAnsi="Trebuchet MS"/>
          <w:color w:val="000000" w:themeColor="text1"/>
          <w:sz w:val="22"/>
          <w:szCs w:val="22"/>
        </w:rPr>
        <w:t>cât</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şi</w:t>
      </w:r>
      <w:proofErr w:type="spellEnd"/>
      <w:r>
        <w:rPr>
          <w:rFonts w:ascii="Trebuchet MS" w:hAnsi="Trebuchet MS"/>
          <w:color w:val="000000" w:themeColor="text1"/>
          <w:sz w:val="22"/>
          <w:szCs w:val="22"/>
        </w:rPr>
        <w:t xml:space="preserve"> din PNA </w:t>
      </w:r>
      <w:proofErr w:type="spellStart"/>
      <w:r>
        <w:rPr>
          <w:rFonts w:ascii="Trebuchet MS" w:hAnsi="Trebuchet MS"/>
          <w:color w:val="000000" w:themeColor="text1"/>
          <w:sz w:val="22"/>
          <w:szCs w:val="22"/>
        </w:rPr>
        <w:t>respectiv</w:t>
      </w:r>
      <w:proofErr w:type="spellEnd"/>
      <w:r>
        <w:rPr>
          <w:rFonts w:ascii="Trebuchet MS" w:hAnsi="Trebuchet MS"/>
          <w:color w:val="000000" w:themeColor="text1"/>
          <w:sz w:val="22"/>
          <w:szCs w:val="22"/>
        </w:rPr>
        <w:t xml:space="preserve"> PNS, </w:t>
      </w:r>
      <w:proofErr w:type="spellStart"/>
      <w:r>
        <w:rPr>
          <w:rFonts w:ascii="Trebuchet MS" w:hAnsi="Trebuchet MS"/>
          <w:color w:val="000000" w:themeColor="text1"/>
          <w:sz w:val="22"/>
          <w:szCs w:val="22"/>
        </w:rPr>
        <w:t>aceleaşi</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tipuri</w:t>
      </w:r>
      <w:proofErr w:type="spellEnd"/>
      <w:r>
        <w:rPr>
          <w:rFonts w:ascii="Trebuchet MS" w:hAnsi="Trebuchet MS"/>
          <w:color w:val="000000" w:themeColor="text1"/>
          <w:sz w:val="22"/>
          <w:szCs w:val="22"/>
        </w:rPr>
        <w:t xml:space="preserve"> de </w:t>
      </w:r>
      <w:proofErr w:type="spellStart"/>
      <w:r>
        <w:rPr>
          <w:rFonts w:ascii="Trebuchet MS" w:hAnsi="Trebuchet MS"/>
          <w:color w:val="000000" w:themeColor="text1"/>
          <w:sz w:val="22"/>
          <w:szCs w:val="22"/>
        </w:rPr>
        <w:t>acţiuni</w:t>
      </w:r>
      <w:proofErr w:type="spellEnd"/>
      <w:r>
        <w:rPr>
          <w:rFonts w:ascii="Trebuchet MS" w:hAnsi="Trebuchet MS"/>
          <w:color w:val="000000" w:themeColor="text1"/>
          <w:sz w:val="22"/>
          <w:szCs w:val="22"/>
        </w:rPr>
        <w:t>;</w:t>
      </w:r>
    </w:p>
    <w:p w14:paraId="359F717F" w14:textId="77777777" w:rsidR="00A371CF" w:rsidRDefault="00A371CF" w:rsidP="00A371CF">
      <w:pPr>
        <w:pStyle w:val="ListParagraph"/>
        <w:spacing w:after="0"/>
        <w:ind w:left="0"/>
        <w:jc w:val="both"/>
        <w:rPr>
          <w:rFonts w:ascii="Trebuchet MS" w:hAnsi="Trebuchet MS"/>
          <w:color w:val="000000" w:themeColor="text1"/>
          <w:sz w:val="22"/>
          <w:szCs w:val="22"/>
        </w:rPr>
      </w:pPr>
      <w:r w:rsidRPr="0044753C">
        <w:rPr>
          <w:rFonts w:ascii="Trebuchet MS" w:hAnsi="Trebuchet MS"/>
          <w:color w:val="FF0000"/>
          <w:sz w:val="22"/>
          <w:szCs w:val="22"/>
        </w:rPr>
        <w:lastRenderedPageBreak/>
        <w:t></w:t>
      </w:r>
      <w:r>
        <w:rPr>
          <w:rFonts w:ascii="Trebuchet MS" w:hAnsi="Trebuchet MS"/>
          <w:color w:val="FF0000"/>
          <w:sz w:val="22"/>
          <w:szCs w:val="22"/>
        </w:rPr>
        <w:t xml:space="preserve"> </w:t>
      </w:r>
      <w:proofErr w:type="spellStart"/>
      <w:r>
        <w:rPr>
          <w:rFonts w:ascii="Trebuchet MS" w:hAnsi="Trebuchet MS"/>
          <w:color w:val="000000" w:themeColor="text1"/>
          <w:sz w:val="22"/>
          <w:szCs w:val="22"/>
        </w:rPr>
        <w:t>Cheltuielile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neeligibile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generale</w:t>
      </w:r>
      <w:proofErr w:type="spellEnd"/>
      <w:r>
        <w:rPr>
          <w:rFonts w:ascii="Trebuchet MS" w:hAnsi="Trebuchet MS"/>
          <w:color w:val="000000" w:themeColor="text1"/>
          <w:sz w:val="22"/>
          <w:szCs w:val="22"/>
        </w:rPr>
        <w:t xml:space="preserve">, conform </w:t>
      </w:r>
      <w:proofErr w:type="spellStart"/>
      <w:r>
        <w:rPr>
          <w:rFonts w:ascii="Trebuchet MS" w:hAnsi="Trebuchet MS"/>
          <w:color w:val="000000" w:themeColor="text1"/>
          <w:sz w:val="22"/>
          <w:szCs w:val="22"/>
        </w:rPr>
        <w:t>prevederilor</w:t>
      </w:r>
      <w:proofErr w:type="spellEnd"/>
      <w:r>
        <w:rPr>
          <w:rFonts w:ascii="Trebuchet MS" w:hAnsi="Trebuchet MS"/>
          <w:color w:val="000000" w:themeColor="text1"/>
          <w:sz w:val="22"/>
          <w:szCs w:val="22"/>
        </w:rPr>
        <w:t xml:space="preserve"> din Cap. 8.1 din PNDR.</w:t>
      </w:r>
    </w:p>
    <w:p w14:paraId="40D1F56B" w14:textId="77777777" w:rsidR="00A371CF" w:rsidRDefault="00A371CF" w:rsidP="00A371CF">
      <w:pPr>
        <w:pStyle w:val="ListParagraph"/>
        <w:spacing w:after="0"/>
        <w:ind w:left="0"/>
        <w:jc w:val="both"/>
        <w:rPr>
          <w:rFonts w:ascii="Trebuchet MS" w:hAnsi="Trebuchet MS" w:cs="Trebuchet MS"/>
          <w:bCs/>
          <w:sz w:val="22"/>
          <w:szCs w:val="22"/>
        </w:rPr>
      </w:pPr>
    </w:p>
    <w:p w14:paraId="51C0F35F" w14:textId="77777777" w:rsidR="00E06D1C" w:rsidRDefault="00A14F64">
      <w:pPr>
        <w:shd w:val="clear" w:color="auto" w:fill="E5DFEC" w:themeFill="accent4" w:themeFillTint="33"/>
        <w:spacing w:after="0"/>
        <w:rPr>
          <w:rFonts w:ascii="Trebuchet MS" w:hAnsi="Trebuchet MS"/>
          <w:sz w:val="22"/>
          <w:szCs w:val="22"/>
          <w:lang w:val="ro-RO"/>
        </w:rPr>
      </w:pPr>
      <w:r>
        <w:rPr>
          <w:rFonts w:ascii="Trebuchet MS" w:hAnsi="Trebuchet MS"/>
          <w:b/>
          <w:bCs/>
          <w:sz w:val="22"/>
          <w:szCs w:val="22"/>
          <w:lang w:val="ro-RO"/>
        </w:rPr>
        <w:t>7. Condiții de eligibilitate</w:t>
      </w:r>
    </w:p>
    <w:p w14:paraId="724553C2" w14:textId="77777777" w:rsidR="00E06D1C" w:rsidRDefault="00A14F64">
      <w:pPr>
        <w:pStyle w:val="Default"/>
        <w:spacing w:line="276" w:lineRule="auto"/>
        <w:jc w:val="both"/>
        <w:rPr>
          <w:sz w:val="22"/>
          <w:szCs w:val="22"/>
        </w:rPr>
      </w:pPr>
      <w:r>
        <w:rPr>
          <w:sz w:val="22"/>
          <w:szCs w:val="22"/>
        </w:rPr>
        <w:t>  Solicitantul să se încadreze în categoria micro-întreprinderilor și întreprinderilor mici;</w:t>
      </w:r>
    </w:p>
    <w:p w14:paraId="68AB27EB" w14:textId="77777777" w:rsidR="00E06D1C" w:rsidRDefault="00A14F64">
      <w:pPr>
        <w:pStyle w:val="Default"/>
        <w:spacing w:line="276" w:lineRule="auto"/>
        <w:jc w:val="both"/>
        <w:rPr>
          <w:sz w:val="22"/>
          <w:szCs w:val="22"/>
        </w:rPr>
      </w:pPr>
      <w:r>
        <w:rPr>
          <w:sz w:val="22"/>
          <w:szCs w:val="22"/>
        </w:rPr>
        <w:t xml:space="preserve"> Solicitantul deține o exploatație agricolă cu dimensiunea economică cuprinsă între </w:t>
      </w:r>
      <w:r w:rsidR="00A371CF">
        <w:rPr>
          <w:sz w:val="22"/>
          <w:szCs w:val="22"/>
        </w:rPr>
        <w:t xml:space="preserve">4.000 – 7.999 </w:t>
      </w:r>
      <w:r>
        <w:rPr>
          <w:sz w:val="22"/>
          <w:szCs w:val="22"/>
        </w:rPr>
        <w:t>€ SO (valoarea producției standard);</w:t>
      </w:r>
    </w:p>
    <w:p w14:paraId="092758B0" w14:textId="77777777" w:rsidR="00E06D1C" w:rsidRDefault="00A14F64">
      <w:pPr>
        <w:pStyle w:val="Default"/>
        <w:spacing w:line="276" w:lineRule="auto"/>
        <w:jc w:val="both"/>
        <w:rPr>
          <w:sz w:val="22"/>
          <w:szCs w:val="22"/>
        </w:rPr>
      </w:pPr>
      <w:r>
        <w:rPr>
          <w:sz w:val="22"/>
          <w:szCs w:val="22"/>
        </w:rPr>
        <w:t xml:space="preserve"> Exploatația agricolă este înregistrată, conform prevederilor legislative naționale, cu cel puțin 24 de luni înainte de solicitarea sprijinului și este situată majoritar pe teritoriul </w:t>
      </w:r>
      <w:r>
        <w:rPr>
          <w:rFonts w:cs="Calibri"/>
          <w:bCs/>
          <w:iCs/>
          <w:color w:val="403152" w:themeColor="accent4" w:themeShade="80"/>
          <w:sz w:val="22"/>
          <w:szCs w:val="22"/>
          <w:lang w:eastAsia="ro-RO"/>
        </w:rPr>
        <w:t>GAL</w:t>
      </w:r>
      <w:r>
        <w:rPr>
          <w:sz w:val="22"/>
          <w:szCs w:val="22"/>
        </w:rPr>
        <w:t>;</w:t>
      </w:r>
    </w:p>
    <w:p w14:paraId="45820425" w14:textId="77777777" w:rsidR="00E06D1C" w:rsidRDefault="00A14F64">
      <w:pPr>
        <w:pStyle w:val="Default"/>
        <w:spacing w:line="276" w:lineRule="auto"/>
        <w:jc w:val="both"/>
        <w:rPr>
          <w:sz w:val="22"/>
          <w:szCs w:val="22"/>
        </w:rPr>
      </w:pPr>
      <w:r>
        <w:rPr>
          <w:sz w:val="22"/>
          <w:szCs w:val="22"/>
        </w:rPr>
        <w:t> Solicitantul prezintă planul de afaceri;</w:t>
      </w:r>
    </w:p>
    <w:p w14:paraId="27E5DFBA" w14:textId="77777777" w:rsidR="00E06D1C" w:rsidRDefault="00A14F64">
      <w:pPr>
        <w:pStyle w:val="Default"/>
        <w:spacing w:line="276" w:lineRule="auto"/>
        <w:jc w:val="both"/>
        <w:rPr>
          <w:sz w:val="22"/>
          <w:szCs w:val="22"/>
        </w:rPr>
      </w:pPr>
      <w:r>
        <w:rPr>
          <w:sz w:val="22"/>
          <w:szCs w:val="22"/>
        </w:rPr>
        <w:t> Solicitantul nu a beneficiat de sprijin anterior pentru operațiuni sprijinite prin această sub-măsură din PNDR 2014-2020;</w:t>
      </w:r>
    </w:p>
    <w:p w14:paraId="38C4A5B5" w14:textId="77777777" w:rsidR="00E06D1C" w:rsidRDefault="00A14F64">
      <w:pPr>
        <w:pStyle w:val="Default"/>
        <w:spacing w:line="276" w:lineRule="auto"/>
        <w:jc w:val="both"/>
        <w:rPr>
          <w:sz w:val="22"/>
          <w:szCs w:val="22"/>
        </w:rPr>
      </w:pPr>
      <w:r>
        <w:rPr>
          <w:sz w:val="22"/>
          <w:szCs w:val="22"/>
        </w:rPr>
        <w:t> O e</w:t>
      </w:r>
      <w:r>
        <w:rPr>
          <w:color w:val="00000A"/>
          <w:sz w:val="22"/>
          <w:szCs w:val="22"/>
        </w:rPr>
        <w:t xml:space="preserve">xploatație agricolă nu poate primi sprijin decât o singură dată în cadrul acestei măsuri prin strategia de dezvoltare locală, în sensul că exploatația nu poate fi transferată între doi sau mai mulți fermieri, beneficiari ai sprijinului prin această sub-măsură; </w:t>
      </w:r>
    </w:p>
    <w:p w14:paraId="6B15E100" w14:textId="77777777" w:rsidR="00E06D1C" w:rsidRDefault="00A14F64">
      <w:pPr>
        <w:pStyle w:val="Default"/>
        <w:spacing w:line="276" w:lineRule="auto"/>
        <w:jc w:val="both"/>
        <w:rPr>
          <w:sz w:val="22"/>
          <w:szCs w:val="22"/>
        </w:rPr>
      </w:pPr>
      <w:r>
        <w:rPr>
          <w:sz w:val="22"/>
          <w:szCs w:val="22"/>
        </w:rPr>
        <w:t> Implementarea planului de afaceri trebuie să înceapă în termen de cel mult nouă luni de la data deciziei de acordare a sprijinului.</w:t>
      </w:r>
    </w:p>
    <w:p w14:paraId="4165AB72" w14:textId="77777777" w:rsidR="00E06D1C" w:rsidRDefault="009548C4" w:rsidP="009548C4">
      <w:pPr>
        <w:pStyle w:val="Default"/>
        <w:spacing w:line="276" w:lineRule="auto"/>
        <w:jc w:val="both"/>
        <w:rPr>
          <w:sz w:val="22"/>
          <w:szCs w:val="22"/>
        </w:rPr>
      </w:pPr>
      <w:r>
        <w:rPr>
          <w:sz w:val="22"/>
          <w:szCs w:val="22"/>
        </w:rPr>
        <w:t xml:space="preserve"> </w:t>
      </w:r>
      <w:r w:rsidR="00A14F64">
        <w:rPr>
          <w:color w:val="00000A"/>
          <w:sz w:val="22"/>
          <w:szCs w:val="22"/>
        </w:rPr>
        <w:t xml:space="preserve">Înaintea solicitării celei de-a doua tranșă de plată, solicitantul face dovada creșterii performanțelor economice ale exploatației, prin comercializarea producției proprii în procent de minimum </w:t>
      </w:r>
      <w:r w:rsidR="00A371CF">
        <w:rPr>
          <w:color w:val="00000A"/>
          <w:sz w:val="22"/>
          <w:szCs w:val="22"/>
        </w:rPr>
        <w:t xml:space="preserve">5 </w:t>
      </w:r>
      <w:r w:rsidR="00A14F64">
        <w:rPr>
          <w:color w:val="00000A"/>
          <w:sz w:val="22"/>
          <w:szCs w:val="22"/>
        </w:rPr>
        <w:t>% din valoarea primei tranșe de plată (cerința va fi verificată în momentul finalizării implementării planului de afaceri);</w:t>
      </w:r>
    </w:p>
    <w:p w14:paraId="746F045C" w14:textId="77777777" w:rsidR="00E06D1C" w:rsidRDefault="009548C4" w:rsidP="009548C4">
      <w:pPr>
        <w:pStyle w:val="Default"/>
        <w:spacing w:line="276" w:lineRule="auto"/>
        <w:jc w:val="both"/>
        <w:rPr>
          <w:color w:val="00000A"/>
          <w:sz w:val="22"/>
          <w:szCs w:val="22"/>
        </w:rPr>
      </w:pPr>
      <w:r>
        <w:rPr>
          <w:sz w:val="22"/>
          <w:szCs w:val="22"/>
        </w:rPr>
        <w:t xml:space="preserve"> </w:t>
      </w:r>
      <w:r w:rsidR="00A14F64">
        <w:rPr>
          <w:color w:val="00000A"/>
          <w:sz w:val="22"/>
          <w:szCs w:val="22"/>
        </w:rPr>
        <w:t>În cazul în care exploatația agricolă vizează creșterea animalelor, planul de afaceri trebuie să prevadă platforme de gestionare a gunoiului de grajd</w:t>
      </w:r>
      <w:r w:rsidR="00A371CF">
        <w:rPr>
          <w:color w:val="00000A"/>
          <w:sz w:val="22"/>
          <w:szCs w:val="22"/>
        </w:rPr>
        <w:t xml:space="preserve"> sau un alt sistem de gestionare a gunoiului de grajd</w:t>
      </w:r>
      <w:r w:rsidR="00A14F64">
        <w:rPr>
          <w:color w:val="00000A"/>
          <w:sz w:val="22"/>
          <w:szCs w:val="22"/>
        </w:rPr>
        <w:t>, conform normelor de mediu (cerința va fi verificată în momentul finalizării implementării planului de afaceri).</w:t>
      </w:r>
    </w:p>
    <w:p w14:paraId="6207365B" w14:textId="77777777" w:rsidR="009548C4" w:rsidRDefault="009548C4" w:rsidP="009548C4">
      <w:pPr>
        <w:pStyle w:val="Default"/>
        <w:spacing w:line="276" w:lineRule="auto"/>
        <w:jc w:val="both"/>
        <w:rPr>
          <w:sz w:val="22"/>
          <w:szCs w:val="22"/>
        </w:rPr>
      </w:pPr>
    </w:p>
    <w:p w14:paraId="49BD217E" w14:textId="77777777" w:rsidR="00E06D1C" w:rsidRDefault="00A14F64">
      <w:pPr>
        <w:pStyle w:val="Default"/>
        <w:shd w:val="clear" w:color="auto" w:fill="E5DFEC" w:themeFill="accent4" w:themeFillTint="33"/>
        <w:spacing w:line="276" w:lineRule="auto"/>
        <w:rPr>
          <w:b/>
          <w:bCs/>
          <w:sz w:val="22"/>
          <w:szCs w:val="22"/>
        </w:rPr>
      </w:pPr>
      <w:r>
        <w:rPr>
          <w:b/>
          <w:bCs/>
          <w:sz w:val="22"/>
          <w:szCs w:val="22"/>
        </w:rPr>
        <w:t>8. Criterii de selecție</w:t>
      </w:r>
    </w:p>
    <w:p w14:paraId="77BAAFD8" w14:textId="77777777" w:rsidR="00E06D1C" w:rsidRDefault="00A14F64">
      <w:pPr>
        <w:pStyle w:val="Default"/>
        <w:spacing w:line="276" w:lineRule="auto"/>
        <w:jc w:val="both"/>
        <w:rPr>
          <w:sz w:val="22"/>
          <w:szCs w:val="22"/>
        </w:rPr>
      </w:pPr>
      <w:r>
        <w:rPr>
          <w:b/>
          <w:bCs/>
          <w:sz w:val="22"/>
          <w:szCs w:val="22"/>
        </w:rPr>
        <w:t>1. Principiul calificării solicitantului în domeniul agricol</w:t>
      </w:r>
      <w:r>
        <w:rPr>
          <w:sz w:val="22"/>
          <w:szCs w:val="22"/>
        </w:rPr>
        <w:t>.</w:t>
      </w:r>
      <w:r>
        <w:rPr>
          <w:sz w:val="22"/>
          <w:szCs w:val="22"/>
        </w:rPr>
        <w:tab/>
      </w:r>
    </w:p>
    <w:p w14:paraId="4FF8DFD6" w14:textId="77777777" w:rsidR="00E06D1C" w:rsidRDefault="00A14F64">
      <w:pPr>
        <w:pStyle w:val="Default"/>
        <w:spacing w:line="276" w:lineRule="auto"/>
        <w:jc w:val="both"/>
        <w:rPr>
          <w:sz w:val="22"/>
          <w:szCs w:val="22"/>
        </w:rPr>
      </w:pPr>
      <w:r>
        <w:rPr>
          <w:b/>
          <w:bCs/>
          <w:sz w:val="22"/>
          <w:szCs w:val="22"/>
        </w:rPr>
        <w:t xml:space="preserve">2. Principiul potențialului agricol al zonelor </w:t>
      </w:r>
      <w:r>
        <w:rPr>
          <w:sz w:val="22"/>
          <w:szCs w:val="22"/>
        </w:rPr>
        <w:t>(determinat în baza studiilor de specialitate).</w:t>
      </w:r>
    </w:p>
    <w:p w14:paraId="19B00403" w14:textId="77777777" w:rsidR="00E06D1C" w:rsidRDefault="00A14F64">
      <w:pPr>
        <w:pStyle w:val="Default"/>
        <w:spacing w:line="276" w:lineRule="auto"/>
        <w:jc w:val="both"/>
        <w:rPr>
          <w:sz w:val="22"/>
          <w:szCs w:val="22"/>
        </w:rPr>
      </w:pPr>
      <w:r>
        <w:rPr>
          <w:b/>
          <w:bCs/>
          <w:sz w:val="22"/>
          <w:szCs w:val="22"/>
        </w:rPr>
        <w:t xml:space="preserve">3. Principiul încadrării solicitantului într-o formă asociativă </w:t>
      </w:r>
      <w:r>
        <w:rPr>
          <w:sz w:val="22"/>
          <w:szCs w:val="22"/>
        </w:rPr>
        <w:t xml:space="preserve">recunoscută conform legislației naționale în vigoare (de exemplu: grup de producători, cooperativa, </w:t>
      </w:r>
      <w:proofErr w:type="spellStart"/>
      <w:r>
        <w:rPr>
          <w:sz w:val="22"/>
          <w:szCs w:val="22"/>
        </w:rPr>
        <w:t>asociatie</w:t>
      </w:r>
      <w:proofErr w:type="spellEnd"/>
      <w:r>
        <w:rPr>
          <w:sz w:val="22"/>
          <w:szCs w:val="22"/>
        </w:rPr>
        <w:t xml:space="preserve"> relevanta pentru obiectul de activitate principal al fermei, etc.)</w:t>
      </w:r>
      <w:r>
        <w:rPr>
          <w:b/>
          <w:bCs/>
          <w:sz w:val="22"/>
          <w:szCs w:val="22"/>
        </w:rPr>
        <w:t xml:space="preserve">. </w:t>
      </w:r>
    </w:p>
    <w:p w14:paraId="1096B6D1" w14:textId="77777777" w:rsidR="00E06D1C" w:rsidRDefault="00A14F64">
      <w:pPr>
        <w:pStyle w:val="Default"/>
        <w:spacing w:line="276" w:lineRule="auto"/>
        <w:jc w:val="both"/>
        <w:rPr>
          <w:i/>
          <w:iCs/>
          <w:sz w:val="22"/>
          <w:szCs w:val="22"/>
        </w:rPr>
      </w:pPr>
      <w:r>
        <w:rPr>
          <w:b/>
          <w:bCs/>
          <w:sz w:val="22"/>
          <w:szCs w:val="22"/>
        </w:rPr>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 xml:space="preserve">e </w:t>
      </w:r>
      <w:r>
        <w:rPr>
          <w:sz w:val="22"/>
          <w:szCs w:val="22"/>
        </w:rPr>
        <w:t xml:space="preserve">prin 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14:paraId="00F02D99" w14:textId="77777777" w:rsidR="00CA6AF9" w:rsidRPr="00893E35" w:rsidRDefault="00CA6AF9" w:rsidP="005B7EC6">
      <w:pPr>
        <w:pStyle w:val="Default"/>
        <w:spacing w:line="276" w:lineRule="auto"/>
        <w:jc w:val="both"/>
        <w:rPr>
          <w:sz w:val="22"/>
          <w:szCs w:val="22"/>
        </w:rPr>
      </w:pPr>
      <w:r>
        <w:rPr>
          <w:iCs/>
          <w:sz w:val="22"/>
          <w:szCs w:val="22"/>
        </w:rPr>
        <w:t>5. Solicitantul propune prin Planul de Afaceri crearea de locuri de muncă.</w:t>
      </w:r>
    </w:p>
    <w:p w14:paraId="1911E681" w14:textId="77777777" w:rsidR="005B7EC6" w:rsidRDefault="005B7EC6">
      <w:pPr>
        <w:pStyle w:val="Default"/>
        <w:spacing w:line="276" w:lineRule="auto"/>
        <w:jc w:val="both"/>
        <w:rPr>
          <w:sz w:val="22"/>
          <w:szCs w:val="22"/>
        </w:rPr>
      </w:pPr>
    </w:p>
    <w:p w14:paraId="5EC4A4E0" w14:textId="77777777" w:rsidR="00E06D1C" w:rsidRDefault="00A14F64">
      <w:pPr>
        <w:pStyle w:val="Default"/>
        <w:shd w:val="clear" w:color="auto" w:fill="E5DFEC" w:themeFill="accent4" w:themeFillTint="33"/>
        <w:spacing w:line="276" w:lineRule="auto"/>
        <w:rPr>
          <w:color w:val="000000" w:themeColor="text1"/>
          <w:sz w:val="22"/>
          <w:szCs w:val="22"/>
        </w:rPr>
      </w:pPr>
      <w:r>
        <w:rPr>
          <w:b/>
          <w:bCs/>
          <w:color w:val="000000" w:themeColor="text1"/>
          <w:sz w:val="22"/>
          <w:szCs w:val="22"/>
        </w:rPr>
        <w:t>9. Sume (aplicabile) și rata sprijinului</w:t>
      </w:r>
    </w:p>
    <w:p w14:paraId="38F60BB1" w14:textId="77777777" w:rsidR="00E06D1C" w:rsidRDefault="00A14F64">
      <w:pPr>
        <w:pStyle w:val="Default"/>
        <w:spacing w:line="276" w:lineRule="auto"/>
        <w:jc w:val="both"/>
        <w:rPr>
          <w:sz w:val="22"/>
          <w:szCs w:val="22"/>
        </w:rPr>
      </w:pPr>
      <w:r>
        <w:rPr>
          <w:color w:val="000000" w:themeColor="text1"/>
          <w:sz w:val="22"/>
          <w:szCs w:val="22"/>
        </w:rPr>
        <w:t>Ponderea maximă a intensității sprijinului public nerambursabil din totalul cheltuielilor eligibile este de</w:t>
      </w:r>
      <w:r>
        <w:rPr>
          <w:b/>
          <w:bCs/>
          <w:color w:val="000000" w:themeColor="text1"/>
          <w:sz w:val="22"/>
          <w:szCs w:val="22"/>
        </w:rPr>
        <w:t xml:space="preserve"> 15.000 Euro.</w:t>
      </w:r>
    </w:p>
    <w:p w14:paraId="522B4D15" w14:textId="77777777" w:rsidR="00E06D1C" w:rsidRDefault="00A14F64">
      <w:pPr>
        <w:pStyle w:val="Default"/>
        <w:spacing w:line="276" w:lineRule="auto"/>
        <w:jc w:val="both"/>
        <w:rPr>
          <w:sz w:val="22"/>
          <w:szCs w:val="22"/>
        </w:rPr>
      </w:pPr>
      <w:r>
        <w:rPr>
          <w:color w:val="000000" w:themeColor="text1"/>
          <w:sz w:val="22"/>
          <w:szCs w:val="22"/>
        </w:rPr>
        <w:t>Sprijinul pentru dezvoltarea fermelor mici se va acorda sub formă de primă în două tranșe, astfel:</w:t>
      </w:r>
    </w:p>
    <w:p w14:paraId="6238F8EA" w14:textId="77777777" w:rsidR="00E06D1C" w:rsidRDefault="00A14F64">
      <w:pPr>
        <w:pStyle w:val="Default"/>
        <w:spacing w:line="276" w:lineRule="auto"/>
        <w:jc w:val="both"/>
        <w:rPr>
          <w:sz w:val="22"/>
          <w:szCs w:val="22"/>
        </w:rPr>
      </w:pPr>
      <w:r>
        <w:rPr>
          <w:sz w:val="22"/>
          <w:szCs w:val="22"/>
        </w:rPr>
        <w:t xml:space="preserve"> </w:t>
      </w:r>
      <w:r>
        <w:rPr>
          <w:b/>
          <w:bCs/>
          <w:color w:val="000000" w:themeColor="text1"/>
          <w:sz w:val="22"/>
          <w:szCs w:val="22"/>
        </w:rPr>
        <w:t xml:space="preserve">75% </w:t>
      </w:r>
      <w:r>
        <w:rPr>
          <w:color w:val="000000" w:themeColor="text1"/>
          <w:sz w:val="22"/>
          <w:szCs w:val="22"/>
        </w:rPr>
        <w:t>din cuantumul sprijinului la semnarea deciziei de finanțare;</w:t>
      </w:r>
    </w:p>
    <w:p w14:paraId="3EB2247D" w14:textId="77777777" w:rsidR="00E06D1C" w:rsidRDefault="00A14F64">
      <w:pPr>
        <w:pStyle w:val="Default"/>
        <w:spacing w:line="276" w:lineRule="auto"/>
        <w:jc w:val="both"/>
        <w:rPr>
          <w:sz w:val="22"/>
          <w:szCs w:val="22"/>
        </w:rPr>
      </w:pPr>
      <w:r>
        <w:rPr>
          <w:sz w:val="22"/>
          <w:szCs w:val="22"/>
        </w:rPr>
        <w:t xml:space="preserve"> </w:t>
      </w:r>
      <w:r>
        <w:rPr>
          <w:b/>
          <w:bCs/>
          <w:color w:val="000000" w:themeColor="text1"/>
          <w:sz w:val="22"/>
          <w:szCs w:val="22"/>
        </w:rPr>
        <w:t>25%</w:t>
      </w:r>
      <w:r>
        <w:rPr>
          <w:color w:val="000000" w:themeColor="text1"/>
          <w:sz w:val="22"/>
          <w:szCs w:val="22"/>
        </w:rPr>
        <w:t xml:space="preserve"> din cuantumul sprijinului se va acorda cu condiția implementării corecte a planului de afaceri, fără a depăși trei/cinci* ani </w:t>
      </w:r>
      <w:r w:rsidR="00A371CF">
        <w:rPr>
          <w:color w:val="000000" w:themeColor="text1"/>
          <w:sz w:val="22"/>
          <w:szCs w:val="22"/>
        </w:rPr>
        <w:t xml:space="preserve">(perioada de cinci ani se aplică doar la sectorul pomicol) </w:t>
      </w:r>
      <w:r>
        <w:rPr>
          <w:color w:val="000000" w:themeColor="text1"/>
          <w:sz w:val="22"/>
          <w:szCs w:val="22"/>
        </w:rPr>
        <w:t>de la semnarea deciziei de finanțare.</w:t>
      </w:r>
    </w:p>
    <w:p w14:paraId="532EB670" w14:textId="77777777" w:rsidR="00E06D1C" w:rsidRDefault="00A14F64">
      <w:pPr>
        <w:pStyle w:val="Default"/>
        <w:spacing w:line="276" w:lineRule="auto"/>
        <w:jc w:val="both"/>
        <w:rPr>
          <w:sz w:val="22"/>
          <w:szCs w:val="22"/>
        </w:rPr>
      </w:pPr>
      <w:r>
        <w:rPr>
          <w:color w:val="000000" w:themeColor="text1"/>
          <w:sz w:val="22"/>
          <w:szCs w:val="22"/>
        </w:rPr>
        <w:t xml:space="preserve">Intensitatea sprijinului pentru aceasta măsura va fi de </w:t>
      </w:r>
      <w:r>
        <w:rPr>
          <w:b/>
          <w:bCs/>
          <w:color w:val="000000" w:themeColor="text1"/>
          <w:sz w:val="22"/>
          <w:szCs w:val="22"/>
        </w:rPr>
        <w:t>100%</w:t>
      </w:r>
      <w:r>
        <w:rPr>
          <w:color w:val="000000" w:themeColor="text1"/>
          <w:sz w:val="22"/>
          <w:szCs w:val="22"/>
        </w:rPr>
        <w:t xml:space="preserve">. </w:t>
      </w:r>
    </w:p>
    <w:p w14:paraId="4219B729" w14:textId="77777777" w:rsidR="00E06D1C" w:rsidRDefault="00A14F64">
      <w:pPr>
        <w:pStyle w:val="Default"/>
        <w:spacing w:line="276" w:lineRule="auto"/>
        <w:jc w:val="both"/>
        <w:rPr>
          <w:color w:val="403152" w:themeColor="accent4" w:themeShade="80"/>
          <w:sz w:val="22"/>
          <w:szCs w:val="22"/>
        </w:rPr>
      </w:pPr>
      <w:proofErr w:type="spellStart"/>
      <w:r>
        <w:rPr>
          <w:color w:val="403152" w:themeColor="accent4" w:themeShade="80"/>
          <w:sz w:val="22"/>
          <w:szCs w:val="22"/>
        </w:rPr>
        <w:t>Intenstitatea</w:t>
      </w:r>
      <w:proofErr w:type="spellEnd"/>
      <w:r>
        <w:rPr>
          <w:color w:val="403152" w:themeColor="accent4" w:themeShade="80"/>
          <w:sz w:val="22"/>
          <w:szCs w:val="22"/>
        </w:rPr>
        <w:t xml:space="preserve"> și valoarea sprijinului țin cont de obiectivele și prioritățile SDL și de specificul local, respectiv necesitățile în domeniul agricol identificate în teritoriu.</w:t>
      </w:r>
      <w:r>
        <w:rPr>
          <w:color w:val="403152" w:themeColor="accent4" w:themeShade="80"/>
          <w:sz w:val="22"/>
          <w:szCs w:val="22"/>
        </w:rPr>
        <w:tab/>
      </w:r>
    </w:p>
    <w:p w14:paraId="6F947CE1" w14:textId="77777777" w:rsidR="00E06D1C" w:rsidRDefault="00A14F64">
      <w:pPr>
        <w:pStyle w:val="Default"/>
        <w:shd w:val="clear" w:color="auto" w:fill="E5DFEC" w:themeFill="accent4" w:themeFillTint="33"/>
        <w:spacing w:line="276" w:lineRule="auto"/>
        <w:rPr>
          <w:sz w:val="22"/>
          <w:szCs w:val="22"/>
        </w:rPr>
      </w:pPr>
      <w:r>
        <w:rPr>
          <w:b/>
          <w:bCs/>
          <w:sz w:val="22"/>
          <w:szCs w:val="22"/>
        </w:rPr>
        <w:lastRenderedPageBreak/>
        <w:t xml:space="preserve">10. Indicatori de monitorizare </w:t>
      </w:r>
    </w:p>
    <w:p w14:paraId="2E87AD8A" w14:textId="77777777" w:rsidR="00E06D1C" w:rsidRDefault="00A14F64">
      <w:pPr>
        <w:pStyle w:val="Default"/>
        <w:spacing w:line="276" w:lineRule="auto"/>
        <w:jc w:val="both"/>
      </w:pPr>
      <w:r>
        <w:rPr>
          <w:b/>
          <w:sz w:val="22"/>
          <w:szCs w:val="22"/>
        </w:rPr>
        <w:t>- Numărul de exploatații agricole/beneficiari sprijiniți – 3.</w:t>
      </w:r>
    </w:p>
    <w:p w14:paraId="26194CE5" w14:textId="77777777" w:rsidR="00C85117" w:rsidRDefault="00C85117">
      <w:pPr>
        <w:pStyle w:val="Default"/>
        <w:spacing w:line="276" w:lineRule="auto"/>
        <w:jc w:val="both"/>
      </w:pPr>
    </w:p>
    <w:p w14:paraId="33A7A4CA" w14:textId="77777777" w:rsidR="00E06D1C" w:rsidRDefault="00E06D1C">
      <w:pPr>
        <w:spacing w:after="0"/>
        <w:rPr>
          <w:rFonts w:ascii="Trebuchet MS" w:hAnsi="Trebuchet MS"/>
          <w:sz w:val="22"/>
          <w:szCs w:val="22"/>
        </w:rPr>
      </w:pPr>
    </w:p>
    <w:p w14:paraId="4169AAAE" w14:textId="77777777" w:rsidR="00E06D1C" w:rsidRDefault="00E06D1C">
      <w:pPr>
        <w:spacing w:after="0"/>
      </w:pPr>
    </w:p>
    <w:sectPr w:rsidR="00E06D1C" w:rsidSect="001F13BD">
      <w:headerReference w:type="default" r:id="rId8"/>
      <w:footerReference w:type="default" r:id="rId9"/>
      <w:pgSz w:w="11907" w:h="16839" w:code="9"/>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0186" w14:textId="77777777" w:rsidR="00CC7E4F" w:rsidRDefault="00CC7E4F">
      <w:pPr>
        <w:spacing w:after="0" w:line="240" w:lineRule="auto"/>
      </w:pPr>
      <w:r>
        <w:separator/>
      </w:r>
    </w:p>
  </w:endnote>
  <w:endnote w:type="continuationSeparator" w:id="0">
    <w:p w14:paraId="36C0CD89" w14:textId="77777777" w:rsidR="00CC7E4F" w:rsidRDefault="00CC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512"/>
      <w:gridCol w:w="515"/>
    </w:tblGrid>
    <w:tr w:rsidR="00E06D1C" w14:paraId="363F2FF2" w14:textId="77777777">
      <w:trPr>
        <w:trHeight w:val="360"/>
      </w:trPr>
      <w:tc>
        <w:tcPr>
          <w:tcW w:w="8836" w:type="dxa"/>
          <w:tcBorders>
            <w:top w:val="single" w:sz="4" w:space="0" w:color="8064A2"/>
          </w:tcBorders>
          <w:shd w:val="clear" w:color="auto" w:fill="auto"/>
        </w:tcPr>
        <w:p w14:paraId="0F00B60D" w14:textId="77777777" w:rsidR="00E06D1C" w:rsidRPr="00D72A35" w:rsidRDefault="00A14F64">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D72A35">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D72A35">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D72A35">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D72A35">
            <w:rPr>
              <w:rFonts w:ascii="Trebuchet MS" w:hAnsi="Trebuchet MS"/>
              <w:b/>
              <w:sz w:val="22"/>
              <w:szCs w:val="22"/>
              <w14:shadow w14:blurRad="50800" w14:dist="38100" w14:dir="2700000" w14:sx="100000" w14:sy="100000" w14:kx="0" w14:ky="0" w14:algn="tl">
                <w14:srgbClr w14:val="000000">
                  <w14:alpha w14:val="60000"/>
                </w14:srgbClr>
              </w14:shadow>
            </w:rPr>
            <w:t xml:space="preserve"> M2.1</w:t>
          </w:r>
        </w:p>
      </w:tc>
      <w:tc>
        <w:tcPr>
          <w:tcW w:w="523" w:type="dxa"/>
          <w:tcBorders>
            <w:top w:val="single" w:sz="4" w:space="0" w:color="8064A2"/>
          </w:tcBorders>
          <w:shd w:val="clear" w:color="auto" w:fill="8064A2" w:themeFill="accent4"/>
        </w:tcPr>
        <w:p w14:paraId="2954D369" w14:textId="77777777" w:rsidR="00E06D1C" w:rsidRDefault="00A14F64">
          <w:pPr>
            <w:pStyle w:val="Footer"/>
            <w:jc w:val="center"/>
          </w:pPr>
          <w: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instrText>PAGE</w:instrText>
          </w:r>
          <w:r>
            <w:fldChar w:fldCharType="separate"/>
          </w:r>
          <w:r w:rsidR="002A5FA6">
            <w:rPr>
              <w:noProof/>
            </w:rPr>
            <w:t>1</w:t>
          </w:r>
          <w:r>
            <w:fldChar w:fldCharType="end"/>
          </w:r>
        </w:p>
      </w:tc>
    </w:tr>
  </w:tbl>
  <w:p w14:paraId="311F37B9" w14:textId="77777777" w:rsidR="00E06D1C" w:rsidRDefault="00E0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1414" w14:textId="77777777" w:rsidR="00CC7E4F" w:rsidRDefault="00CC7E4F">
      <w:pPr>
        <w:spacing w:after="0" w:line="240" w:lineRule="auto"/>
      </w:pPr>
      <w:r>
        <w:separator/>
      </w:r>
    </w:p>
  </w:footnote>
  <w:footnote w:type="continuationSeparator" w:id="0">
    <w:p w14:paraId="6D259D9D" w14:textId="77777777" w:rsidR="00CC7E4F" w:rsidRDefault="00CC7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4"/>
      <w:gridCol w:w="3305"/>
    </w:tblGrid>
    <w:tr w:rsidR="00E06D1C" w14:paraId="50BE8F14" w14:textId="77777777">
      <w:trPr>
        <w:trHeight w:val="534"/>
      </w:trPr>
      <w:tc>
        <w:tcPr>
          <w:tcW w:w="6243" w:type="dxa"/>
          <w:shd w:val="clear" w:color="auto" w:fill="8064A2" w:themeFill="accent4"/>
          <w:vAlign w:val="center"/>
        </w:tcPr>
        <w:p w14:paraId="4FDBC787" w14:textId="77777777" w:rsidR="00E06D1C" w:rsidRDefault="00CC7E4F">
          <w:pPr>
            <w:pStyle w:val="Header"/>
            <w:jc w:val="right"/>
            <w:rPr>
              <w:rFonts w:ascii="Trebuchet MS" w:hAnsi="Trebuchet MS"/>
              <w:caps/>
              <w:color w:val="FFFFFF" w:themeColor="background1"/>
              <w:sz w:val="22"/>
              <w:szCs w:val="22"/>
            </w:rPr>
          </w:pPr>
          <w:sdt>
            <w:sdtPr>
              <w:alias w:val="Title"/>
              <w:id w:val="1195426116"/>
              <w:dataBinding w:prefixMappings="xmlns:ns0='http://schemas.openxmlformats.org/package/2006/metadata/core-properties' xmlns:ns1='http://purl.org/dc/elements/1.1/'" w:xpath="/ns0:coreProperties[1]/ns1:title[1]" w:storeItemID="{6C3C8BC8-F283-45AE-878A-BAB7291924A1}"/>
              <w:text/>
            </w:sdtPr>
            <w:sdtEndPr/>
            <w:sdtContent>
              <w:r w:rsidR="00A14F64" w:rsidRPr="00D72A35">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14:paraId="3D827490" w14:textId="77777777" w:rsidR="00E06D1C" w:rsidRPr="00D72A35" w:rsidRDefault="00A14F64">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D72A3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D72A3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D72A3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D72A3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D72A3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3983D925" w14:textId="77777777" w:rsidR="00E06D1C" w:rsidRDefault="00E06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5F1"/>
    <w:multiLevelType w:val="multilevel"/>
    <w:tmpl w:val="467A1C5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1" w15:restartNumberingAfterBreak="0">
    <w:nsid w:val="20DC42E5"/>
    <w:multiLevelType w:val="multilevel"/>
    <w:tmpl w:val="FD10ED7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5BE81447"/>
    <w:multiLevelType w:val="multilevel"/>
    <w:tmpl w:val="58644BB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1C"/>
    <w:rsid w:val="000F5DE8"/>
    <w:rsid w:val="00174317"/>
    <w:rsid w:val="001F13BD"/>
    <w:rsid w:val="00252B27"/>
    <w:rsid w:val="002A5FA6"/>
    <w:rsid w:val="00330518"/>
    <w:rsid w:val="003576D0"/>
    <w:rsid w:val="003A7B3C"/>
    <w:rsid w:val="005B7EC6"/>
    <w:rsid w:val="008608C7"/>
    <w:rsid w:val="008F19A2"/>
    <w:rsid w:val="0091486C"/>
    <w:rsid w:val="009548C4"/>
    <w:rsid w:val="009A229B"/>
    <w:rsid w:val="00A14F64"/>
    <w:rsid w:val="00A31E0E"/>
    <w:rsid w:val="00A371CF"/>
    <w:rsid w:val="00A856FD"/>
    <w:rsid w:val="00AC0667"/>
    <w:rsid w:val="00AD11A0"/>
    <w:rsid w:val="00AF170F"/>
    <w:rsid w:val="00B215EF"/>
    <w:rsid w:val="00B44FD9"/>
    <w:rsid w:val="00BB3A08"/>
    <w:rsid w:val="00C65CF2"/>
    <w:rsid w:val="00C85117"/>
    <w:rsid w:val="00CA6AF9"/>
    <w:rsid w:val="00CC7E4F"/>
    <w:rsid w:val="00D72A35"/>
    <w:rsid w:val="00E06D1C"/>
    <w:rsid w:val="00E518DD"/>
    <w:rsid w:val="00F81AC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0095"/>
  <w15:docId w15:val="{30AB64A6-BAD9-4D54-9E2E-8C947501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F30C8-9E10-4C0C-8506-F589C712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2017-09-14T11:24:00Z</cp:lastPrinted>
  <dcterms:created xsi:type="dcterms:W3CDTF">2021-08-04T10:35:00Z</dcterms:created>
  <dcterms:modified xsi:type="dcterms:W3CDTF">2021-08-04T10:35:00Z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