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E4F" w:rsidRPr="00F028F8" w:rsidRDefault="000B35E9" w:rsidP="00F028F8">
      <w:pPr>
        <w:spacing w:after="0"/>
        <w:jc w:val="center"/>
        <w:rPr>
          <w:rFonts w:ascii="Trebuchet MS" w:hAnsi="Trebuchet MS"/>
          <w:sz w:val="22"/>
          <w:szCs w:val="22"/>
        </w:rPr>
      </w:pPr>
      <w:bookmarkStart w:id="0" w:name="_GoBack"/>
      <w:bookmarkEnd w:id="0"/>
      <w:r w:rsidRPr="0001111E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CAPITOLUL I</w:t>
      </w:r>
      <w:r w:rsidR="008D0D81" w:rsidRPr="0001111E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II</w:t>
      </w:r>
      <w:r w:rsidR="00CF696C" w:rsidRPr="0001111E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. </w:t>
      </w:r>
      <w:r w:rsidR="008D0D81" w:rsidRPr="0001111E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ANALIZA SWOT (ANALIZA PUNCTELOR TARI, PUNCTELOR SLABE, OPORTUNITĂȚILOR ȘI AMENINȚĂRILOR)</w:t>
      </w:r>
    </w:p>
    <w:p w:rsidR="00070100" w:rsidRPr="00F028F8" w:rsidRDefault="00070100" w:rsidP="00F028F8">
      <w:pPr>
        <w:spacing w:after="0"/>
        <w:jc w:val="center"/>
        <w:rPr>
          <w:rFonts w:ascii="Trebuchet MS" w:hAnsi="Trebuchet MS"/>
          <w:sz w:val="22"/>
          <w:szCs w:val="22"/>
        </w:rPr>
      </w:pPr>
    </w:p>
    <w:tbl>
      <w:tblPr>
        <w:tblStyle w:val="Listdeculoaredeschis-Accentuare4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1C4E4F" w:rsidRPr="00F028F8" w:rsidTr="00A832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:rsidR="001C4E4F" w:rsidRPr="0001111E" w:rsidRDefault="001C4E4F" w:rsidP="00F028F8">
            <w:pPr>
              <w:spacing w:after="0" w:line="276" w:lineRule="auto"/>
              <w:rPr>
                <w:rFonts w:ascii="Trebuchet MS" w:eastAsia="Cambria" w:hAnsi="Trebuchet MS" w:cs="Trebuchet MS"/>
                <w:b w:val="0"/>
                <w:bCs w:val="0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028F8">
              <w:rPr>
                <w:rFonts w:ascii="Trebuchet MS" w:eastAsia="Trebuchet MS" w:hAnsi="Trebuchet MS" w:cs="Trebuchet MS"/>
                <w:color w:val="FFFFFF" w:themeColor="background1"/>
                <w:sz w:val="22"/>
                <w:szCs w:val="22"/>
              </w:rPr>
              <w:t xml:space="preserve"> </w:t>
            </w:r>
            <w:r w:rsidRPr="0001111E">
              <w:rPr>
                <w:rFonts w:ascii="Trebuchet MS" w:eastAsia="Cambria" w:hAnsi="Trebuchet MS" w:cs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TERITORIU</w:t>
            </w:r>
          </w:p>
        </w:tc>
      </w:tr>
      <w:tr w:rsidR="001C4E4F" w:rsidRPr="00F028F8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TARI</w:t>
            </w:r>
          </w:p>
        </w:tc>
        <w:tc>
          <w:tcPr>
            <w:tcW w:w="4678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SLABE</w:t>
            </w:r>
          </w:p>
        </w:tc>
      </w:tr>
      <w:tr w:rsidR="001C4E4F" w:rsidRPr="00F028F8" w:rsidTr="00A83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C4E4F" w:rsidRPr="00F028F8" w:rsidRDefault="001C4E4F" w:rsidP="00F028F8">
            <w:pPr>
              <w:pStyle w:val="TableContents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țeaua de drumuri județene</w:t>
            </w:r>
            <w:r w:rsidR="0094039D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, orășenești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și comunale asigură accesul spre toate localitățile GAL;</w:t>
            </w:r>
          </w:p>
          <w:p w:rsidR="002B0F60" w:rsidRPr="00F028F8" w:rsidRDefault="002B0F60" w:rsidP="00F028F8">
            <w:pPr>
              <w:pStyle w:val="TableContents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Pondere ridicată a pădurilor în suprafața totală a fondului funciar</w:t>
            </w:r>
            <w:r w:rsidR="00ED1802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, ce coboară până aproape de vatra localităților – zone naturale cu potențial de agrement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Clima</w:t>
            </w:r>
            <w:r w:rsidR="00ED1802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blândă, temperat continentală, cu o bună circulație a aerului, favorabilă agriculturii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Prezența a </w:t>
            </w:r>
            <w:r w:rsidR="00240CD2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68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de monumente istorice, </w:t>
            </w:r>
            <w:r w:rsidR="00240CD2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9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situri arheologice și </w:t>
            </w:r>
            <w:r w:rsidR="00240CD2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13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situri Natura 2000 pe teritoriul GAL; </w:t>
            </w:r>
          </w:p>
          <w:p w:rsidR="001C4E4F" w:rsidRPr="00F028F8" w:rsidRDefault="00ED1802" w:rsidP="00F028F8">
            <w:pPr>
              <w:pStyle w:val="TableContents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sz w:val="22"/>
                <w:szCs w:val="22"/>
                <w:lang w:val="en-US"/>
              </w:rPr>
            </w:pP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Prezen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</w:rPr>
              <w:t>ța celei mai mari termocentrale din țără în cadrul teritoriului (amplasată în orașul Turceni)</w:t>
            </w:r>
            <w:r w:rsidR="008A1AA0" w:rsidRPr="00F028F8">
              <w:rPr>
                <w:rFonts w:ascii="Trebuchet MS" w:hAnsi="Trebuchet MS"/>
                <w:b w:val="0"/>
                <w:sz w:val="22"/>
                <w:szCs w:val="22"/>
              </w:rPr>
              <w:t xml:space="preserve"> și a Complexului Energetic Rovinari</w:t>
            </w:r>
            <w:r w:rsidR="003F5336"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4678" w:type="dxa"/>
          </w:tcPr>
          <w:p w:rsidR="001C4E4F" w:rsidRPr="00F028F8" w:rsidRDefault="00A832CA" w:rsidP="00F028F8">
            <w:pPr>
              <w:pStyle w:val="TableContents"/>
              <w:numPr>
                <w:ilvl w:val="0"/>
                <w:numId w:val="2"/>
              </w:numPr>
              <w:tabs>
                <w:tab w:val="left" w:pos="266"/>
              </w:tabs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M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 xml:space="preserve">odernizare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redusă 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 xml:space="preserve">a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rețelei de transport public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>;</w:t>
            </w:r>
          </w:p>
          <w:p w:rsidR="005F6C77" w:rsidRPr="00F028F8" w:rsidRDefault="005F6C77" w:rsidP="00F028F8">
            <w:pPr>
              <w:pStyle w:val="TableContents"/>
              <w:numPr>
                <w:ilvl w:val="0"/>
                <w:numId w:val="2"/>
              </w:numPr>
              <w:tabs>
                <w:tab w:val="left" w:pos="266"/>
              </w:tabs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>Parametrii tehnici ai infrastructurii rutiere generează îngreunarea traficului, scăderea gradului de accesibilitate către teritoriu și favorizează producerea de accidente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2"/>
              </w:numPr>
              <w:tabs>
                <w:tab w:val="left" w:pos="266"/>
              </w:tabs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Re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țeaua de alimentare cu apă și rețeaua de canalizare sunt insuficient dezvoltate raportat la necesitățile din teritoriu;</w:t>
            </w:r>
          </w:p>
          <w:p w:rsidR="001C4E4F" w:rsidRPr="00F028F8" w:rsidRDefault="002B0F60" w:rsidP="00F028F8">
            <w:pPr>
              <w:pStyle w:val="TableContents"/>
              <w:numPr>
                <w:ilvl w:val="0"/>
                <w:numId w:val="2"/>
              </w:numPr>
              <w:tabs>
                <w:tab w:val="left" w:pos="266"/>
              </w:tabs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Exploatarea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intensivă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pădurilor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private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și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de stat,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ce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constituie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amenințare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adresa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biodiversității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:rsidR="00E9320C" w:rsidRPr="00F028F8" w:rsidRDefault="00E9320C" w:rsidP="00F028F8">
            <w:pPr>
              <w:pStyle w:val="TableContents"/>
              <w:numPr>
                <w:ilvl w:val="0"/>
                <w:numId w:val="2"/>
              </w:numPr>
              <w:tabs>
                <w:tab w:val="left" w:pos="266"/>
              </w:tabs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Existen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>ța unor zone afectate de alunecări de teren</w:t>
            </w:r>
            <w:r w:rsidR="003F5336"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.</w:t>
            </w:r>
          </w:p>
        </w:tc>
      </w:tr>
      <w:tr w:rsidR="001C4E4F" w:rsidRPr="00F028F8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OPORTUNITĂȚI</w:t>
            </w:r>
          </w:p>
        </w:tc>
        <w:tc>
          <w:tcPr>
            <w:tcW w:w="4678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hAnsi="Trebuchet MS" w:cs="Trebuchet MS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AMENINȚĂRI</w:t>
            </w:r>
          </w:p>
        </w:tc>
      </w:tr>
      <w:tr w:rsidR="001C4E4F" w:rsidRPr="00F028F8" w:rsidTr="00E9320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B8760F" w:rsidRPr="00F028F8" w:rsidRDefault="00E9320C" w:rsidP="00F028F8">
            <w:pPr>
              <w:pStyle w:val="TableContents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Existența unor programe de finanțare pentru dezvoltarea și reabilitarea infrastructurii</w:t>
            </w:r>
            <w:r w:rsidR="001C4E4F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;</w:t>
            </w:r>
          </w:p>
          <w:p w:rsidR="00E9320C" w:rsidRPr="00F028F8" w:rsidRDefault="00E9320C" w:rsidP="00F028F8">
            <w:pPr>
              <w:pStyle w:val="TableContents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Existența de resurse de agregate minerale ce pot fi utilizate la executarea lucrărilor de infrastructură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;</w:t>
            </w:r>
          </w:p>
          <w:p w:rsidR="00B8760F" w:rsidRPr="00F028F8" w:rsidRDefault="00B8760F" w:rsidP="00F028F8">
            <w:pPr>
              <w:pStyle w:val="TableContents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Dezvoltarea unor activități eco-turistice și a turismului ecologic în zonele protejate și în împrejurimi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;</w:t>
            </w:r>
          </w:p>
          <w:p w:rsidR="00B8760F" w:rsidRPr="00F028F8" w:rsidRDefault="00B8760F" w:rsidP="00F028F8">
            <w:pPr>
              <w:pStyle w:val="TableContents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Organizarea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de ac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țiuni de ecologizare pe raza ariilor portejate</w:t>
            </w:r>
            <w:r w:rsidR="00D57672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, cu scopul de a crește gradul de conștientizare a necesității protejării mediului natural</w:t>
            </w:r>
            <w:r w:rsidR="00D57672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;</w:t>
            </w:r>
          </w:p>
          <w:p w:rsidR="00B8760F" w:rsidRPr="00F028F8" w:rsidRDefault="001C4E4F" w:rsidP="00F028F8">
            <w:pPr>
              <w:pStyle w:val="TableContents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Dezvoltarea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durabilă a zonei bazată pe diversificarea și identificarea unor soluții optime de valorificare a terenurilor agricole</w:t>
            </w:r>
            <w:r w:rsidR="0025406A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2C2AE2" w:rsidRPr="00F028F8" w:rsidRDefault="001C4E4F" w:rsidP="00F028F8">
            <w:pPr>
              <w:pStyle w:val="TableContents"/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Capacitate sc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ăzută a autorităților publice locale de a menține infrastructura </w:t>
            </w:r>
            <w:r w:rsidR="002C2AE2" w:rsidRPr="00F028F8">
              <w:rPr>
                <w:rFonts w:ascii="Trebuchet MS" w:hAnsi="Trebuchet MS" w:cs="Trebuchet MS"/>
                <w:sz w:val="22"/>
                <w:szCs w:val="22"/>
              </w:rPr>
              <w:t xml:space="preserve">de bază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în condiții optime;</w:t>
            </w:r>
          </w:p>
          <w:p w:rsidR="002C2AE2" w:rsidRPr="00F028F8" w:rsidRDefault="002C2AE2" w:rsidP="00F028F8">
            <w:pPr>
              <w:pStyle w:val="TableContents"/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>Volumul scăzut și/sau accesarea redusă a surselor de finanțare ce determină realizarea parțială a lucrărilor de întreținere și reparații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:rsidR="00E9320C" w:rsidRPr="00F028F8" w:rsidRDefault="00E9320C" w:rsidP="00F028F8">
            <w:pPr>
              <w:pStyle w:val="TableContents"/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Sc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ăderea accentuată a nivelului de competitivitate a serviciilor publice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176" w:hanging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>Lipsa intervenției la obiectivele de patrimoniu cultural aflate într-o continuă stare de degradare.</w:t>
            </w:r>
          </w:p>
        </w:tc>
      </w:tr>
      <w:tr w:rsidR="001C4E4F" w:rsidRPr="00F028F8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403152" w:themeFill="accent4" w:themeFillShade="80"/>
          </w:tcPr>
          <w:p w:rsidR="001C4E4F" w:rsidRPr="0001111E" w:rsidRDefault="001C4E4F" w:rsidP="00F028F8">
            <w:pPr>
              <w:spacing w:after="0" w:line="276" w:lineRule="auto"/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AGRICULTURĂ</w:t>
            </w:r>
          </w:p>
        </w:tc>
      </w:tr>
      <w:tr w:rsidR="001C4E4F" w:rsidRPr="00F028F8" w:rsidTr="00A832C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TARI</w:t>
            </w:r>
          </w:p>
        </w:tc>
        <w:tc>
          <w:tcPr>
            <w:tcW w:w="4678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SLABE</w:t>
            </w:r>
          </w:p>
        </w:tc>
      </w:tr>
      <w:tr w:rsidR="001C4E4F" w:rsidRPr="00F028F8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3F5336" w:rsidRPr="00F028F8" w:rsidRDefault="001C4E4F" w:rsidP="00F028F8">
            <w:pPr>
              <w:pStyle w:val="TableContents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C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ondiții pedo-climatice favorabile obținerii  de producții agricole diversificate calitativ și cantitativ; 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lastRenderedPageBreak/>
              <w:t>Suprafa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ță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agricolă ridicată cu o pondere importantă a terenului arabil;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De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ținerea cu proponderență a terenurilor în proprietate privată;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Poten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țial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ridicat al culturilor de cereale, porumb, floarea soarelui, mazăre, fasole, plante medicinale;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Zonă cu potențial ridicat pentru zootehnie;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12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Procent</w:t>
            </w:r>
            <w:proofErr w:type="spellEnd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relativ</w:t>
            </w:r>
            <w:proofErr w:type="spellEnd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 xml:space="preserve"> mare al </w:t>
            </w:r>
            <w:proofErr w:type="spellStart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popula</w:t>
            </w:r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</w:rPr>
              <w:t>ție</w:t>
            </w:r>
            <w:r w:rsidR="00D9289C" w:rsidRPr="00F028F8">
              <w:rPr>
                <w:rFonts w:ascii="Trebuchet MS" w:eastAsia="Wingdings" w:hAnsi="Trebuchet MS" w:cs="Wingdings"/>
                <w:b w:val="0"/>
                <w:sz w:val="22"/>
                <w:szCs w:val="22"/>
              </w:rPr>
              <w:t>i</w:t>
            </w:r>
            <w:proofErr w:type="spellEnd"/>
            <w:r w:rsidR="00D9289C" w:rsidRPr="00F028F8">
              <w:rPr>
                <w:rFonts w:ascii="Trebuchet MS" w:eastAsia="Wingdings" w:hAnsi="Trebuchet MS" w:cs="Wingdings"/>
                <w:b w:val="0"/>
                <w:sz w:val="22"/>
                <w:szCs w:val="22"/>
              </w:rPr>
              <w:t xml:space="preserve"> active ocupată în agricultură.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Style w:val="FootnoteAnchor"/>
                <w:rFonts w:ascii="Trebuchet MS" w:hAnsi="Trebuchet MS"/>
                <w:b w:val="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lastRenderedPageBreak/>
              <w:t>Practicarea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la scar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ă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extins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ă a agriculturii de subzistență, lipsa inițiativelor de asociere și fragmentarea excesivă a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lastRenderedPageBreak/>
              <w:t>terenurilor, ce împiedică în prezent valorificarea optimă a potențialului agricol;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Ponderea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cov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>ârșitoare a exploatațiilor agricole fără personalitate juridică;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G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radul ridicat de îmbătrânire a persoanelor care lucrează în agricultură;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P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regătire profesională scăzută a administratorilor de ferme, majoritatea bazându-se doar pe experiența practică nesusținută și de cunoștințe dobândite în urma unor cursuri în domeniu;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Nivel scăzut de cunoștințe adecvate de management, utilizarea a tehnologiilor moderne, inovative și a practicilor de protecție a mediului în rândul fermierilor;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Dotare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>a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tehnologic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>ă sub valorile optime a exploatațiilor agricole;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Gradul</w:t>
            </w:r>
            <w:proofErr w:type="spellEnd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ridicat</w:t>
            </w:r>
            <w:proofErr w:type="spellEnd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uzur</w:t>
            </w:r>
            <w:proofErr w:type="spellEnd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ă a parcului de mașini și echipamente agricole;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 xml:space="preserve">Procent redus de utilaje agricole deținute în proprietate </w:t>
            </w: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de c</w:t>
            </w: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ătre fermieri;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N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ivel redus de adaptabilitate a fermierilor la noile tehnologii moderne, inovatoare;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Lipsa culturii antreprenoriale în rândul proprietarilor de ferme de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subzistență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:rsidR="003F5336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Lipsa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culturii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asociative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în vederea creșterii sectorului agricol;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13"/>
              </w:numPr>
              <w:tabs>
                <w:tab w:val="left" w:pos="317"/>
              </w:tabs>
              <w:spacing w:line="276" w:lineRule="auto"/>
              <w:ind w:left="176" w:hanging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Lipsa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unui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sistem de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informare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constant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ă a fermierilor din teritoriul GAL</w:t>
            </w:r>
            <w:r w:rsidR="00D9289C" w:rsidRPr="00F028F8">
              <w:rPr>
                <w:rFonts w:ascii="Trebuchet MS" w:hAnsi="Trebuchet MS" w:cs="Trebuchet MS"/>
                <w:sz w:val="22"/>
                <w:szCs w:val="22"/>
              </w:rPr>
              <w:t>.</w:t>
            </w:r>
          </w:p>
        </w:tc>
      </w:tr>
      <w:tr w:rsidR="001C4E4F" w:rsidRPr="00F028F8" w:rsidTr="00A83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OPORTUNITĂȚI</w:t>
            </w:r>
          </w:p>
        </w:tc>
        <w:tc>
          <w:tcPr>
            <w:tcW w:w="4678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hAnsi="Trebuchet MS" w:cs="Trebuchet MS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AMENINȚĂRI</w:t>
            </w:r>
          </w:p>
        </w:tc>
      </w:tr>
      <w:tr w:rsidR="001C4E4F" w:rsidRPr="00F028F8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C10B44" w:rsidRPr="00F028F8" w:rsidRDefault="001C4E4F" w:rsidP="00F028F8">
            <w:pPr>
              <w:pStyle w:val="TableContents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V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alorificarea forței de muncă active prin asigurarea unui proces continuu de informare și dezvoltare profesională;</w:t>
            </w:r>
          </w:p>
          <w:p w:rsidR="00C10B44" w:rsidRPr="00F028F8" w:rsidRDefault="001C4E4F" w:rsidP="00F028F8">
            <w:pPr>
              <w:pStyle w:val="TableContents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Utilizarea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oportunit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ăților de finanțare existente pentru dezvoltarea spațiului rural;</w:t>
            </w:r>
          </w:p>
          <w:p w:rsidR="00C10B44" w:rsidRPr="00F028F8" w:rsidRDefault="001C4E4F" w:rsidP="00F028F8">
            <w:pPr>
              <w:pStyle w:val="TableContents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Modernizarea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agriculturii în vederea determinării tinerilor să rămână sau să se întoarcă în teritoriul GAL;</w:t>
            </w:r>
          </w:p>
          <w:p w:rsidR="00C10B44" w:rsidRPr="00F028F8" w:rsidRDefault="001C4E4F" w:rsidP="00F028F8">
            <w:pPr>
              <w:pStyle w:val="TableContents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Adoptarea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unor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practici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agricole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îmbunătățite;</w:t>
            </w:r>
          </w:p>
          <w:p w:rsidR="00C10B44" w:rsidRPr="00F028F8" w:rsidRDefault="001C4E4F" w:rsidP="00F028F8">
            <w:pPr>
              <w:pStyle w:val="TableContents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Replicarea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modelelor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succes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de la nivel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lastRenderedPageBreak/>
              <w:t>local, național sau european în domeniul agriculturii;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1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Utilizarea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energiei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regenerabile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contribuind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protejarea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mediului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și reducerea costurilor</w:t>
            </w:r>
            <w:r w:rsidR="00C10B44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lastRenderedPageBreak/>
              <w:t xml:space="preserve"> 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Sc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ăderea forței de muncă ocupate în agricultură;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> Infrastructura agricolă din teritoriul GAL nu oferă tinerilor posibilități de dezvoltare, ceea ce contribuie la migrarea acestora spre alte zone mai dezvoltate;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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Întârzierea depunerii de proiecte de către potențialii beneficiari identificați în cadrul Strategiei de Dezvoltare Locală a GAL;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 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Men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ținerea agriculturii în sfera subzistenței 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(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exploata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ții mici și foarte mici),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lastRenderedPageBreak/>
              <w:t>caracterizată prin productivitate scăzută și forță de muncă îmbătrânită și necalificată, ce va limita valorificarea potențialului agricol al teritoriului;</w:t>
            </w:r>
          </w:p>
          <w:p w:rsidR="001C4E4F" w:rsidRPr="00F028F8" w:rsidRDefault="00D9289C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 xml:space="preserve"> 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>Creșterea ponderii terenurilor necultivate ce va afecta poductivitatea generală a terenurilor și mediul înconjurător;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 xml:space="preserve"> Creșterea dependenței de produsele agricole din afara teritoriului. </w:t>
            </w:r>
          </w:p>
        </w:tc>
      </w:tr>
      <w:tr w:rsidR="001C4E4F" w:rsidRPr="00F028F8" w:rsidTr="00A832C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403152" w:themeFill="accent4" w:themeFillShade="80"/>
          </w:tcPr>
          <w:p w:rsidR="001C4E4F" w:rsidRPr="0001111E" w:rsidRDefault="001C4E4F" w:rsidP="00F028F8">
            <w:pPr>
              <w:spacing w:after="0" w:line="276" w:lineRule="auto"/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Trebuchet MS" w:hAnsi="Trebuchet MS" w:cs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 </w:t>
            </w:r>
            <w:r w:rsidRPr="0001111E">
              <w:rPr>
                <w:rFonts w:ascii="Trebuchet MS" w:eastAsia="Cambria" w:hAnsi="Trebuchet MS" w:cs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POPULAȚIE</w:t>
            </w:r>
          </w:p>
        </w:tc>
      </w:tr>
      <w:tr w:rsidR="001C4E4F" w:rsidRPr="00F028F8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TARI</w:t>
            </w:r>
          </w:p>
        </w:tc>
        <w:tc>
          <w:tcPr>
            <w:tcW w:w="4678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SLABE</w:t>
            </w:r>
          </w:p>
        </w:tc>
      </w:tr>
      <w:tr w:rsidR="001C4E4F" w:rsidRPr="00F028F8" w:rsidTr="00A83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ED1802" w:rsidRPr="00F028F8" w:rsidRDefault="001C4E4F" w:rsidP="00F028F8">
            <w:pPr>
              <w:pStyle w:val="TableContents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Distribu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ția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echilibrată a populației pe sexe;</w:t>
            </w:r>
          </w:p>
          <w:p w:rsidR="00ED1802" w:rsidRPr="00F028F8" w:rsidRDefault="00ED1802" w:rsidP="00F028F8">
            <w:pPr>
              <w:pStyle w:val="TableContents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Potențial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pentru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pregătire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profesională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și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inovare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;</w:t>
            </w:r>
          </w:p>
          <w:p w:rsidR="006768D9" w:rsidRPr="00F028F8" w:rsidRDefault="001C4E4F" w:rsidP="00F028F8">
            <w:pPr>
              <w:pStyle w:val="TableContents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Ponderea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768D9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relativ</w:t>
            </w:r>
            <w:proofErr w:type="spellEnd"/>
            <w:r w:rsidR="006768D9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ridicat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 a populației din categoria de vârstă 20-59 ani;</w:t>
            </w:r>
            <w:r w:rsidR="006768D9" w:rsidRPr="00F028F8">
              <w:rPr>
                <w:rFonts w:ascii="Trebuchet MS" w:hAnsi="Trebuchet MS"/>
                <w:b w:val="0"/>
                <w:sz w:val="22"/>
                <w:szCs w:val="22"/>
              </w:rPr>
              <w:t xml:space="preserve"> </w:t>
            </w:r>
          </w:p>
          <w:p w:rsidR="006768D9" w:rsidRPr="00F028F8" w:rsidRDefault="006768D9" w:rsidP="00F028F8">
            <w:pPr>
              <w:pStyle w:val="TableContents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hAnsi="Trebuchet MS"/>
                <w:b w:val="0"/>
                <w:sz w:val="22"/>
                <w:szCs w:val="22"/>
              </w:rPr>
              <w:t>Forță de muncă disponibilă</w:t>
            </w:r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;</w:t>
            </w:r>
          </w:p>
          <w:p w:rsidR="00ED1802" w:rsidRPr="00F028F8" w:rsidRDefault="00ED1802" w:rsidP="00F028F8">
            <w:pPr>
              <w:pStyle w:val="TableContents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Potențial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perspectiva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forței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muncă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specializată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pe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activități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producție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construcții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și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conexe</w:t>
            </w:r>
            <w:proofErr w:type="spellEnd"/>
            <w:r w:rsidRPr="00F028F8">
              <w:rPr>
                <w:rFonts w:ascii="Trebuchet MS" w:hAnsi="Trebuchet MS"/>
                <w:b w:val="0"/>
                <w:sz w:val="22"/>
                <w:szCs w:val="22"/>
                <w:lang w:val="en-US"/>
              </w:rPr>
              <w:t>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S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oldul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pozitiv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al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schimb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ărilor de domiciliu.</w:t>
            </w:r>
          </w:p>
        </w:tc>
        <w:tc>
          <w:tcPr>
            <w:tcW w:w="4678" w:type="dxa"/>
          </w:tcPr>
          <w:p w:rsidR="00C91924" w:rsidRPr="00F028F8" w:rsidRDefault="00C91924" w:rsidP="00F028F8">
            <w:pPr>
              <w:pStyle w:val="TableContents"/>
              <w:numPr>
                <w:ilvl w:val="0"/>
                <w:numId w:val="5"/>
              </w:numPr>
              <w:spacing w:line="276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>Tendința de îmbătrânire a populației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:rsidR="006768D9" w:rsidRPr="00F028F8" w:rsidRDefault="006768D9" w:rsidP="00F028F8">
            <w:pPr>
              <w:pStyle w:val="TableContents"/>
              <w:numPr>
                <w:ilvl w:val="0"/>
                <w:numId w:val="5"/>
              </w:numPr>
              <w:spacing w:line="276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>Sporul natural negativ al populației, datorat îmbătrânirii accelerate a populației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;</w:t>
            </w:r>
          </w:p>
          <w:p w:rsidR="00B40A26" w:rsidRPr="00F028F8" w:rsidRDefault="006768D9" w:rsidP="00F028F8">
            <w:pPr>
              <w:pStyle w:val="TableContents"/>
              <w:numPr>
                <w:ilvl w:val="0"/>
                <w:numId w:val="5"/>
              </w:numPr>
              <w:spacing w:line="276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Grad mare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de îmbătrânire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a populației care activează</w:t>
            </w:r>
            <w:r w:rsidR="001C4E4F" w:rsidRPr="00F028F8">
              <w:rPr>
                <w:rFonts w:ascii="Trebuchet MS" w:hAnsi="Trebuchet MS" w:cs="Trebuchet MS"/>
                <w:sz w:val="22"/>
                <w:szCs w:val="22"/>
              </w:rPr>
              <w:t xml:space="preserve"> în agricultură;</w:t>
            </w:r>
          </w:p>
          <w:p w:rsidR="001C4E4F" w:rsidRPr="00F028F8" w:rsidRDefault="00D9289C" w:rsidP="00F028F8">
            <w:pPr>
              <w:pStyle w:val="TableContents"/>
              <w:numPr>
                <w:ilvl w:val="0"/>
                <w:numId w:val="5"/>
              </w:numPr>
              <w:spacing w:line="276" w:lineRule="auto"/>
              <w:ind w:left="317" w:hanging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color w:val="auto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color w:val="auto"/>
                <w:sz w:val="22"/>
                <w:szCs w:val="22"/>
              </w:rPr>
              <w:t>Prezența minorității rome în localitățile teritoriului ce se confruntă cu diverse probleme de incluziune socială.</w:t>
            </w:r>
          </w:p>
        </w:tc>
      </w:tr>
      <w:tr w:rsidR="001C4E4F" w:rsidRPr="00F028F8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OPORTUNITĂȚI</w:t>
            </w:r>
          </w:p>
        </w:tc>
        <w:tc>
          <w:tcPr>
            <w:tcW w:w="4678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hAnsi="Trebuchet MS" w:cs="Trebuchet MS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AMENINȚĂRI</w:t>
            </w:r>
          </w:p>
        </w:tc>
      </w:tr>
      <w:tr w:rsidR="001C4E4F" w:rsidRPr="00F028F8" w:rsidTr="00A83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ED1802" w:rsidRPr="00F028F8" w:rsidRDefault="001C4E4F" w:rsidP="00F028F8">
            <w:pPr>
              <w:pStyle w:val="TableContents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C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șterea interesului tinerilor față de sectorul agricol;</w:t>
            </w:r>
          </w:p>
          <w:p w:rsidR="00ED1802" w:rsidRPr="00F028F8" w:rsidRDefault="001C4E4F" w:rsidP="00F028F8">
            <w:pPr>
              <w:pStyle w:val="TableContents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Diversificarea economiei locale poate duce la creșterea populației stabile la nivelul teritoriului;</w:t>
            </w:r>
          </w:p>
          <w:p w:rsidR="00ED1802" w:rsidRPr="00F028F8" w:rsidRDefault="001C4E4F" w:rsidP="00F028F8">
            <w:pPr>
              <w:pStyle w:val="TableContents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Existența furnizorilor de formare profesională continuă la nivelul celor două județe, ce oferă programe în domenii de interes pentru populația din teritoriu;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10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Facilitarea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incluziunii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sociale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tuturor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membrilor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comunit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ăților locale, în special a reprezentanților minorității rome;</w:t>
            </w:r>
          </w:p>
        </w:tc>
        <w:tc>
          <w:tcPr>
            <w:tcW w:w="4678" w:type="dxa"/>
          </w:tcPr>
          <w:p w:rsidR="00C10B44" w:rsidRPr="00F028F8" w:rsidRDefault="001C4E4F" w:rsidP="00F028F8">
            <w:pPr>
              <w:pStyle w:val="TableContents"/>
              <w:numPr>
                <w:ilvl w:val="0"/>
                <w:numId w:val="15"/>
              </w:numPr>
              <w:spacing w:line="276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Accentuarea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fenomenului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migra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ție a populației tinere;</w:t>
            </w:r>
          </w:p>
          <w:p w:rsidR="00C10B44" w:rsidRPr="00F028F8" w:rsidRDefault="001C4E4F" w:rsidP="00F028F8">
            <w:pPr>
              <w:pStyle w:val="TableContents"/>
              <w:numPr>
                <w:ilvl w:val="0"/>
                <w:numId w:val="15"/>
              </w:numPr>
              <w:spacing w:line="276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Migrarea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popula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ției către centrele urbane;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15"/>
              </w:numPr>
              <w:spacing w:line="276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Nivel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sc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ăzut de trai.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C4E4F" w:rsidRPr="00F028F8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403152" w:themeFill="accent4" w:themeFillShade="80"/>
          </w:tcPr>
          <w:p w:rsidR="001C4E4F" w:rsidRPr="0001111E" w:rsidRDefault="001C4E4F" w:rsidP="00F028F8">
            <w:pPr>
              <w:spacing w:after="0" w:line="276" w:lineRule="auto"/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ECONOMIA LOCALĂ</w:t>
            </w:r>
          </w:p>
        </w:tc>
      </w:tr>
      <w:tr w:rsidR="001C4E4F" w:rsidRPr="00F028F8" w:rsidTr="00A832C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TARI</w:t>
            </w:r>
          </w:p>
        </w:tc>
        <w:tc>
          <w:tcPr>
            <w:tcW w:w="4678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SLABE</w:t>
            </w:r>
          </w:p>
        </w:tc>
      </w:tr>
      <w:tr w:rsidR="001C4E4F" w:rsidRPr="00F028F8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B3282E" w:rsidRPr="00F028F8" w:rsidRDefault="001C4E4F" w:rsidP="00F028F8">
            <w:pPr>
              <w:pStyle w:val="TableContents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eprezentare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bună a servicii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lor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și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industri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ei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prelucrătoare (ca număr de întreprinderi existente);</w:t>
            </w:r>
          </w:p>
          <w:p w:rsidR="0072361F" w:rsidRPr="00F028F8" w:rsidRDefault="001C4E4F" w:rsidP="00F028F8">
            <w:pPr>
              <w:pStyle w:val="TableContents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T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eritoriul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de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ține o tradiție în practicarea agriculturii, susținută de un sol propice activităților de profil;</w:t>
            </w:r>
          </w:p>
          <w:p w:rsidR="0072361F" w:rsidRPr="00F028F8" w:rsidRDefault="001C4E4F" w:rsidP="00F028F8">
            <w:pPr>
              <w:pStyle w:val="TableContents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</w:rPr>
              <w:lastRenderedPageBreak/>
              <w:t>R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  <w:lang w:val="en-US"/>
              </w:rPr>
              <w:t>eparti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</w:rPr>
              <w:t>ție teritorială omogenă a obiectivelor cu potențial turistic;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</w:rPr>
              <w:t>Existența unor monumente istorice cu însemnătate pentru teritoritoriu și potențial de exploatare în vederea dezvoltării serviciilor turistice;</w:t>
            </w:r>
          </w:p>
          <w:p w:rsidR="003F5336" w:rsidRPr="00F028F8" w:rsidRDefault="003F5336" w:rsidP="00F028F8">
            <w:pPr>
              <w:pStyle w:val="TableContents"/>
              <w:numPr>
                <w:ilvl w:val="0"/>
                <w:numId w:val="8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</w:rPr>
              <w:t>Există tradiția organizării unor târguri locale ce pot deveni evenimente de atracție pentru turiști</w:t>
            </w:r>
            <w:r w:rsidR="00F028F8"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678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lastRenderedPageBreak/>
              <w:t xml:space="preserve">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Reprezentare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slab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ă a activităților non-agricole;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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Slaba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dezvoltare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a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întreprinderilor mici și mijlocii;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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Predominan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>ța microîntreprinderilor și a întreprinderilor mici;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</w:rPr>
              <w:lastRenderedPageBreak/>
              <w:t xml:space="preserve">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Capacitatea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redus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</w:rPr>
              <w:t>ă a întreprinderilor de a genera locuri de muncă pentru populația din teritoriu;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 Nivel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redus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instruire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 xml:space="preserve">și participare scăzută la programe de formare profesională pentru dobândirea de noi competențe </w:t>
            </w:r>
            <w:proofErr w:type="spellStart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>a</w:t>
            </w:r>
            <w:proofErr w:type="spellEnd"/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 for</w:t>
            </w:r>
            <w:r w:rsidRPr="00F028F8">
              <w:rPr>
                <w:rFonts w:ascii="Trebuchet MS" w:hAnsi="Trebuchet MS" w:cs="Trebuchet MS"/>
                <w:sz w:val="22"/>
                <w:szCs w:val="22"/>
              </w:rPr>
              <w:t>ței de muncă locale</w:t>
            </w:r>
            <w:r w:rsidRPr="00F028F8">
              <w:rPr>
                <w:rFonts w:ascii="Trebuchet MS" w:hAnsi="Trebuchet MS" w:cs="Trebuchet MS"/>
                <w:sz w:val="22"/>
                <w:szCs w:val="22"/>
                <w:lang w:val="en-US"/>
              </w:rPr>
              <w:t xml:space="preserve">; 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 xml:space="preserve"> </w:t>
            </w:r>
            <w:proofErr w:type="spellStart"/>
            <w:r w:rsidR="00A832CA"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Infrastructură</w:t>
            </w:r>
            <w:proofErr w:type="spellEnd"/>
            <w:r w:rsidR="00A832CA"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832CA"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turistică</w:t>
            </w:r>
            <w:proofErr w:type="spellEnd"/>
            <w:r w:rsidR="00A832CA"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832CA"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deficitară</w:t>
            </w:r>
            <w:proofErr w:type="spellEnd"/>
            <w:r w:rsidR="00A832CA"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;</w:t>
            </w:r>
          </w:p>
          <w:p w:rsidR="00A832CA" w:rsidRPr="00F028F8" w:rsidRDefault="00A832CA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 Slaba dezvoltare și promovare a atracțiilor turistice</w:t>
            </w: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 O</w:t>
            </w:r>
            <w:proofErr w:type="spellStart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biective</w:t>
            </w:r>
            <w:proofErr w:type="spellEnd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culturale</w:t>
            </w:r>
            <w:proofErr w:type="spellEnd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>aflate</w:t>
            </w:r>
            <w:proofErr w:type="spellEnd"/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î</w:t>
            </w: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  <w:lang w:val="en-US"/>
              </w:rPr>
              <w:t xml:space="preserve">n stare </w:t>
            </w:r>
            <w:r w:rsidRPr="00F028F8">
              <w:rPr>
                <w:rFonts w:ascii="Trebuchet MS" w:hAnsi="Trebuchet MS" w:cs="Trebuchet MS"/>
                <w:color w:val="000000" w:themeColor="text1"/>
                <w:sz w:val="22"/>
                <w:szCs w:val="22"/>
              </w:rPr>
              <w:t>de degradare.</w:t>
            </w:r>
          </w:p>
        </w:tc>
      </w:tr>
      <w:tr w:rsidR="001C4E4F" w:rsidRPr="00F028F8" w:rsidTr="00A83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OPORTUNITĂȚI</w:t>
            </w:r>
          </w:p>
        </w:tc>
        <w:tc>
          <w:tcPr>
            <w:tcW w:w="4678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hAnsi="Trebuchet MS" w:cs="Trebuchet MS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AMENINȚĂRI</w:t>
            </w:r>
          </w:p>
        </w:tc>
      </w:tr>
      <w:tr w:rsidR="001C4E4F" w:rsidRPr="00F028F8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Dezvoltarea întreprinderilor mici și mijlocii ca sursă importantă de locuri de muncă și venituri din activități non-agricole;</w:t>
            </w:r>
          </w:p>
          <w:p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Realizarea de investiții în infrastructura și serviciile de bază ce vor contribui la creșterea atractivității teritoriului;</w:t>
            </w:r>
          </w:p>
          <w:p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Accesarea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finan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țări nerambursabile în vederea dezvoltării și/sau modernizării activităților economice desfășurate la nivelul teritoriului;</w:t>
            </w:r>
          </w:p>
          <w:p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C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șterea accesului populației la programe de formare profesională, ce vor conduce la dobândire și/sau îmbogățirea cunoștințelor specifice și la dezvoltarea abilităților antreprenoriale;</w:t>
            </w:r>
          </w:p>
          <w:p w:rsidR="00B3282E" w:rsidRPr="00F028F8" w:rsidRDefault="00B3282E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Interesul crescut față de turismul rural, atât pentu investitori, cât și pentru potențialii consumatori;</w:t>
            </w:r>
          </w:p>
          <w:p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Utilizarea potențialului TIC în dezvoltarea activităților derulate de către întreprinderile existente și nou înființate de la nivelul teritoriului;</w:t>
            </w:r>
          </w:p>
          <w:p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Facilitarea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inov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ării, a cooperării și a creșterii economice la nivel local prin intermediul parteneriatului</w:t>
            </w:r>
            <w:r w:rsidRPr="00F028F8">
              <w:rPr>
                <w:rFonts w:ascii="Trebuchet MS" w:eastAsia="Cambria" w:hAnsi="Trebuchet MS" w:cs="Arial"/>
                <w:b w:val="0"/>
                <w:i/>
                <w:iCs/>
                <w:color w:val="auto"/>
                <w:sz w:val="22"/>
                <w:szCs w:val="22"/>
              </w:rPr>
              <w:t>;</w:t>
            </w:r>
          </w:p>
          <w:p w:rsidR="00E9320C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Păstrarea și promovarea identității locale;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Punerea în valoare a obiectivelor de interes turistic și a tradițiilor etnografice prin includerea lor în circuite turistice la nivel județean și regional</w:t>
            </w:r>
            <w:r w:rsidR="003F5336" w:rsidRPr="00F028F8">
              <w:rPr>
                <w:rFonts w:ascii="Trebuchet MS" w:eastAsia="Cambria" w:hAnsi="Trebuchet MS" w:cs="Cambria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678" w:type="dxa"/>
          </w:tcPr>
          <w:p w:rsidR="00B3282E" w:rsidRPr="00F028F8" w:rsidRDefault="00B3282E" w:rsidP="00F028F8">
            <w:pPr>
              <w:pStyle w:val="TableContents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 w:cs="Trebuchet MS"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bCs/>
                <w:sz w:val="22"/>
                <w:szCs w:val="22"/>
              </w:rPr>
              <w:t>Concurența, în cadrul domeniilor economice prioritare, din partea localităților vecine</w:t>
            </w:r>
            <w:r w:rsidRPr="00F028F8">
              <w:rPr>
                <w:rFonts w:ascii="Trebuchet MS" w:eastAsia="Cambria" w:hAnsi="Trebuchet MS" w:cs="Trebuchet MS"/>
                <w:bCs/>
                <w:sz w:val="22"/>
                <w:szCs w:val="22"/>
                <w:lang w:val="en-US"/>
              </w:rPr>
              <w:t>;</w:t>
            </w:r>
          </w:p>
          <w:p w:rsidR="00B3282E" w:rsidRPr="00F028F8" w:rsidRDefault="00B3282E" w:rsidP="00F028F8">
            <w:pPr>
              <w:pStyle w:val="TableContents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 w:cs="Trebuchet MS"/>
                <w:bCs/>
                <w:sz w:val="22"/>
                <w:szCs w:val="22"/>
              </w:rPr>
            </w:pPr>
            <w:proofErr w:type="spellStart"/>
            <w:r w:rsidRPr="00F028F8">
              <w:rPr>
                <w:rFonts w:ascii="Trebuchet MS" w:eastAsia="Cambria" w:hAnsi="Trebuchet MS" w:cs="Trebuchet MS"/>
                <w:bCs/>
                <w:sz w:val="22"/>
                <w:szCs w:val="22"/>
                <w:lang w:val="en-US"/>
              </w:rPr>
              <w:t>Tendin</w:t>
            </w:r>
            <w:proofErr w:type="spellEnd"/>
            <w:r w:rsidRPr="00F028F8">
              <w:rPr>
                <w:rFonts w:ascii="Trebuchet MS" w:eastAsia="Cambria" w:hAnsi="Trebuchet MS" w:cs="Trebuchet MS"/>
                <w:bCs/>
                <w:sz w:val="22"/>
                <w:szCs w:val="22"/>
              </w:rPr>
              <w:t xml:space="preserve">ța de accentuare a disparităților de dezvoltare; </w:t>
            </w:r>
          </w:p>
          <w:p w:rsidR="00240CD2" w:rsidRPr="00F028F8" w:rsidRDefault="001C4E4F" w:rsidP="00F028F8">
            <w:pPr>
              <w:pStyle w:val="TableContents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Întârzieri în realizarea investițiilor de modernizare a infrastructurii și serviciilor de bază în localitățile din teritoriu;</w:t>
            </w:r>
          </w:p>
          <w:p w:rsidR="00240CD2" w:rsidRPr="00F028F8" w:rsidRDefault="001C4E4F" w:rsidP="00F028F8">
            <w:pPr>
              <w:pStyle w:val="TableContents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Capacitate sc</w:t>
            </w:r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ăzută de asigurare a cofinanțării proiectelor de către potențialii beneficiari de finanțări nerambursabile;</w:t>
            </w:r>
          </w:p>
          <w:p w:rsidR="00240CD2" w:rsidRPr="00F028F8" w:rsidRDefault="001C4E4F" w:rsidP="00F028F8">
            <w:pPr>
              <w:pStyle w:val="TableContents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 xml:space="preserve">Alterarea și pierderea moștenirii culturale locale și a tradițiilor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specifice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teritoriului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ind w:left="176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Capacitate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redus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ă de accesare a finanțărilor nerambursabile datorată lipsei cunoștințelor în domeniu;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1C4E4F" w:rsidRPr="00F028F8" w:rsidTr="00A832CA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shd w:val="clear" w:color="auto" w:fill="403152" w:themeFill="accent4" w:themeFillShade="80"/>
          </w:tcPr>
          <w:p w:rsidR="001C4E4F" w:rsidRPr="0001111E" w:rsidRDefault="001C4E4F" w:rsidP="00F028F8">
            <w:pPr>
              <w:spacing w:after="0" w:line="276" w:lineRule="auto"/>
              <w:rPr>
                <w:rFonts w:ascii="Trebuchet MS" w:hAnsi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Trebuchet MS"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INFRASTRUCTURA DE BAZĂ, SOCIALĂ ȘI EDUCAȚIONALĂ</w:t>
            </w:r>
          </w:p>
        </w:tc>
      </w:tr>
      <w:tr w:rsidR="001C4E4F" w:rsidRPr="00F028F8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TARI</w:t>
            </w:r>
          </w:p>
        </w:tc>
        <w:tc>
          <w:tcPr>
            <w:tcW w:w="4678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PUNCTE SLABE</w:t>
            </w:r>
          </w:p>
        </w:tc>
      </w:tr>
      <w:tr w:rsidR="001C4E4F" w:rsidRPr="00F028F8" w:rsidTr="00A83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72361F" w:rsidRPr="00F028F8" w:rsidRDefault="0072361F" w:rsidP="00F028F8">
            <w:pPr>
              <w:pStyle w:val="TableContents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</w:pPr>
            <w:proofErr w:type="spellStart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Reprezentare</w:t>
            </w:r>
            <w:proofErr w:type="spellEnd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 xml:space="preserve"> bun</w:t>
            </w:r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</w:rPr>
              <w:t>ă a tuturor formelor de învățământ, de la preșcolar, la gimnazial și inclusiv liceal</w:t>
            </w:r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;</w:t>
            </w:r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</w:rPr>
              <w:t xml:space="preserve"> </w:t>
            </w:r>
          </w:p>
          <w:p w:rsidR="0072361F" w:rsidRPr="00F028F8" w:rsidRDefault="001C4E4F" w:rsidP="00F028F8">
            <w:pPr>
              <w:pStyle w:val="TableContents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</w:pP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Existen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ța </w:t>
            </w:r>
            <w:r w:rsidR="0072361F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a două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spital</w:t>
            </w:r>
            <w:r w:rsidR="0072361F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în cadrul teritoriului;</w:t>
            </w:r>
          </w:p>
          <w:p w:rsidR="0072361F" w:rsidRPr="00F028F8" w:rsidRDefault="001C4E4F" w:rsidP="00F028F8">
            <w:pPr>
              <w:pStyle w:val="TableContents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Prezența un</w:t>
            </w:r>
            <w:r w:rsidR="0072361F"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ui număr semnificativ de cabinete medicale de familie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;</w:t>
            </w:r>
          </w:p>
          <w:p w:rsidR="001C4E4F" w:rsidRPr="00F028F8" w:rsidRDefault="001C4E4F" w:rsidP="00F028F8">
            <w:pPr>
              <w:pStyle w:val="TableContents"/>
              <w:numPr>
                <w:ilvl w:val="0"/>
                <w:numId w:val="11"/>
              </w:numPr>
              <w:tabs>
                <w:tab w:val="left" w:pos="284"/>
              </w:tabs>
              <w:spacing w:line="276" w:lineRule="auto"/>
              <w:ind w:left="142" w:hanging="142"/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</w:rPr>
              <w:t>C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adre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didactice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bine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preg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ăti</w:t>
            </w:r>
            <w:r w:rsidR="00F028F8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te</w:t>
            </w:r>
            <w:proofErr w:type="spellEnd"/>
            <w:r w:rsidR="00F028F8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.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</w:p>
          <w:p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bCs w:val="0"/>
                <w:color w:val="800000"/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color w:val="00000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 xml:space="preserve"> </w:t>
            </w:r>
            <w:proofErr w:type="spellStart"/>
            <w:r w:rsidR="00B40A26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>Diminuarea</w:t>
            </w:r>
            <w:proofErr w:type="spellEnd"/>
            <w:r w:rsidR="00B40A26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0A26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>popula</w:t>
            </w:r>
            <w:proofErr w:type="spellEnd"/>
            <w:r w:rsidR="00B40A26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ției școlare</w:t>
            </w: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color w:val="00000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 Distribuție neechilib</w:t>
            </w:r>
            <w:r w:rsidR="00F028F8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rată a elevilor pe săli de clase</w:t>
            </w:r>
            <w:r w:rsidR="00F028F8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>;</w:t>
            </w: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 xml:space="preserve"> 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color w:val="00000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 Reducerea numărului sălilor de clasă existente în unitățile de învățământ de la nivelul teritoriului;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color w:val="00000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 xml:space="preserve"> </w:t>
            </w:r>
            <w:proofErr w:type="spellStart"/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>Reducerea</w:t>
            </w:r>
            <w:proofErr w:type="spellEnd"/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 xml:space="preserve"> num</w:t>
            </w: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ărului de laboratoare școlare din cadrul școlilor din teritoriul GAL;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Trebuchet MS"/>
                <w:color w:val="00000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 xml:space="preserve"> </w:t>
            </w: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  <w:lang w:val="en-US"/>
              </w:rPr>
              <w:t>Sc</w:t>
            </w:r>
            <w:r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ăderea numărului de PC-uri deținute de unitățile de învățământ</w:t>
            </w:r>
            <w:r w:rsidR="00F028F8" w:rsidRPr="00F028F8">
              <w:rPr>
                <w:rFonts w:ascii="Trebuchet MS" w:eastAsia="Cambria" w:hAnsi="Trebuchet MS" w:cs="Trebuchet MS"/>
                <w:color w:val="000000"/>
                <w:sz w:val="22"/>
                <w:szCs w:val="22"/>
              </w:rPr>
              <w:t>.</w:t>
            </w:r>
          </w:p>
        </w:tc>
      </w:tr>
      <w:tr w:rsidR="001C4E4F" w:rsidRPr="00F028F8" w:rsidTr="00A83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eastAsia="Cambria" w:hAnsi="Trebuchet MS" w:cs="Cambria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OPORTUNITĂȚI</w:t>
            </w:r>
          </w:p>
        </w:tc>
        <w:tc>
          <w:tcPr>
            <w:tcW w:w="4678" w:type="dxa"/>
          </w:tcPr>
          <w:p w:rsidR="001C4E4F" w:rsidRPr="0001111E" w:rsidRDefault="001C4E4F" w:rsidP="00F028F8">
            <w:pPr>
              <w:pStyle w:val="TableContents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rebuchet MS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111E">
              <w:rPr>
                <w:rFonts w:ascii="Trebuchet MS" w:hAnsi="Trebuchet MS" w:cs="Trebuchet MS"/>
                <w:b/>
                <w:b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AMENINȚĂRI</w:t>
            </w:r>
          </w:p>
        </w:tc>
      </w:tr>
      <w:tr w:rsidR="001C4E4F" w:rsidRPr="00F028F8" w:rsidTr="00A832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</w:t>
            </w:r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Wingdings" w:hAnsi="Trebuchet MS" w:cs="Wingdings"/>
                <w:b w:val="0"/>
                <w:sz w:val="22"/>
                <w:szCs w:val="22"/>
                <w:lang w:val="en-US"/>
              </w:rPr>
              <w:t>P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roximitatea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teritoriului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f</w:t>
            </w:r>
            <w:r w:rsidR="0094039D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ață</w:t>
            </w:r>
            <w:proofErr w:type="spellEnd"/>
            <w:r w:rsidR="0094039D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94039D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centre</w:t>
            </w:r>
            <w:proofErr w:type="spellEnd"/>
            <w:r w:rsidR="0094039D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urbane </w:t>
            </w:r>
            <w:proofErr w:type="spellStart"/>
            <w:r w:rsidR="0094039D"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importante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ce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îi asigură accesul al servicii educaționale, sanitare, sociale de calitate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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Accesarea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fina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nțărilor nerambursabile în vederea îmbunătățirii infrastructurii și a serviciilor, ce va conduce la creșterea nivelului calității vieții pentru locuitorii</w:t>
            </w:r>
            <w:r w:rsidR="00A76B52" w:rsidRPr="00F028F8">
              <w:rPr>
                <w:rFonts w:ascii="Trebuchet MS" w:eastAsia="Cambria" w:hAnsi="Trebuchet MS" w:cs="Calibri"/>
                <w:b w:val="0"/>
                <w:i/>
                <w:iCs/>
                <w:color w:val="0000CC"/>
                <w:sz w:val="22"/>
                <w:szCs w:val="22"/>
              </w:rPr>
              <w:t xml:space="preserve"> </w:t>
            </w:r>
            <w:r w:rsidR="00A76B52" w:rsidRPr="00F028F8">
              <w:rPr>
                <w:rFonts w:ascii="Trebuchet MS" w:eastAsia="Cambria" w:hAnsi="Trebuchet MS" w:cs="Calibri"/>
                <w:b w:val="0"/>
                <w:iCs/>
                <w:color w:val="auto"/>
                <w:sz w:val="22"/>
                <w:szCs w:val="22"/>
              </w:rPr>
              <w:t>teritoriului</w:t>
            </w:r>
            <w:r w:rsidRPr="00F028F8">
              <w:rPr>
                <w:rFonts w:ascii="Trebuchet MS" w:eastAsia="Cambria" w:hAnsi="Trebuchet MS" w:cs="Cambria"/>
                <w:b w:val="0"/>
                <w:color w:val="auto"/>
                <w:sz w:val="22"/>
                <w:szCs w:val="22"/>
              </w:rPr>
              <w:t>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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Dezvoltarea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activit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ăților de tip after-school;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 </w:t>
            </w:r>
            <w:proofErr w:type="spellStart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>Activit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ăți</w:t>
            </w:r>
            <w:proofErr w:type="spellEnd"/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 xml:space="preserve"> de implicare activă a elevilor în comunitate, prentru responsabilizare și educație civică și în domeniul protecției mediului;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rPr>
                <w:rFonts w:ascii="Trebuchet MS" w:eastAsia="Cambria" w:hAnsi="Trebuchet MS" w:cs="Cambria"/>
                <w:b w:val="0"/>
                <w:bCs w:val="0"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  <w:lang w:val="en-US"/>
              </w:rPr>
              <w:t xml:space="preserve"> </w:t>
            </w:r>
            <w:r w:rsidRPr="00F028F8">
              <w:rPr>
                <w:rFonts w:ascii="Trebuchet MS" w:eastAsia="Cambria" w:hAnsi="Trebuchet MS" w:cs="Cambria"/>
                <w:b w:val="0"/>
                <w:sz w:val="22"/>
                <w:szCs w:val="22"/>
              </w:rPr>
              <w:t>Existența furnizorilor de formare profesională continuă la nivelul celor două județe, ce oferă programe în domenii de interes pentru populația din teritoriu.</w:t>
            </w:r>
          </w:p>
        </w:tc>
        <w:tc>
          <w:tcPr>
            <w:tcW w:w="4678" w:type="dxa"/>
          </w:tcPr>
          <w:p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 Sc</w:t>
            </w:r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ăderea veniturilor locuitorilor cu efect asupra accesului la serviciile sociale și cele de sănătate;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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Acces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redus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oportunit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ățile de finanțare din cauza slabei capacități de management  de proiect a instituțiilor sociale, educaționale solicitante;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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Cre</w:t>
            </w:r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șterea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 xml:space="preserve"> deficitului forței de muncă calificate datorită proximității de centre urbane</w:t>
            </w:r>
            <w:r w:rsidR="0094039D"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;</w:t>
            </w:r>
          </w:p>
          <w:p w:rsidR="001C4E4F" w:rsidRPr="00F028F8" w:rsidRDefault="001C4E4F" w:rsidP="00F028F8">
            <w:pPr>
              <w:pStyle w:val="TableContents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mbria" w:hAnsi="Trebuchet MS" w:cs="Trebuchet MS"/>
                <w:b/>
                <w:bCs/>
                <w:sz w:val="22"/>
                <w:szCs w:val="22"/>
                <w:lang w:val="en-US"/>
              </w:rPr>
            </w:pPr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 xml:space="preserve"> </w:t>
            </w:r>
            <w:proofErr w:type="spellStart"/>
            <w:r w:rsidRPr="00F028F8">
              <w:rPr>
                <w:rFonts w:ascii="Trebuchet MS" w:eastAsia="Cambria" w:hAnsi="Trebuchet MS" w:cs="Trebuchet MS"/>
                <w:sz w:val="22"/>
                <w:szCs w:val="22"/>
                <w:lang w:val="en-US"/>
              </w:rPr>
              <w:t>Cre</w:t>
            </w:r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>șterea</w:t>
            </w:r>
            <w:proofErr w:type="spellEnd"/>
            <w:r w:rsidRPr="00F028F8">
              <w:rPr>
                <w:rFonts w:ascii="Trebuchet MS" w:eastAsia="Cambria" w:hAnsi="Trebuchet MS" w:cs="Trebuchet MS"/>
                <w:sz w:val="22"/>
                <w:szCs w:val="22"/>
              </w:rPr>
              <w:t xml:space="preserve"> abandonului școlar din cauza accesibilității reduse la serviciile de învățământ.</w:t>
            </w:r>
          </w:p>
        </w:tc>
      </w:tr>
    </w:tbl>
    <w:p w:rsidR="001C4E4F" w:rsidRPr="00F028F8" w:rsidRDefault="001C4E4F" w:rsidP="00F028F8">
      <w:pPr>
        <w:spacing w:after="0"/>
        <w:rPr>
          <w:rFonts w:ascii="Trebuchet MS" w:hAnsi="Trebuchet MS"/>
          <w:sz w:val="22"/>
          <w:szCs w:val="22"/>
        </w:rPr>
      </w:pPr>
    </w:p>
    <w:p w:rsidR="00286E7A" w:rsidRPr="00F028F8" w:rsidRDefault="00286E7A" w:rsidP="00F028F8">
      <w:pPr>
        <w:spacing w:after="0"/>
        <w:contextualSpacing/>
        <w:jc w:val="both"/>
        <w:rPr>
          <w:rFonts w:ascii="Trebuchet MS" w:hAnsi="Trebuchet MS"/>
          <w:sz w:val="22"/>
          <w:szCs w:val="22"/>
        </w:rPr>
      </w:pPr>
    </w:p>
    <w:sectPr w:rsidR="00286E7A" w:rsidRPr="00F028F8" w:rsidSect="000B35E9">
      <w:headerReference w:type="default" r:id="rId8"/>
      <w:footerReference w:type="default" r:id="rId9"/>
      <w:pgSz w:w="12240" w:h="15840"/>
      <w:pgMar w:top="1440" w:right="1440" w:bottom="1440" w:left="1440" w:header="426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2F4" w:rsidRDefault="003362F4" w:rsidP="00286E7A">
      <w:pPr>
        <w:spacing w:after="0" w:line="240" w:lineRule="auto"/>
      </w:pPr>
      <w:r>
        <w:separator/>
      </w:r>
    </w:p>
  </w:endnote>
  <w:endnote w:type="continuationSeparator" w:id="0">
    <w:p w:rsidR="003362F4" w:rsidRDefault="003362F4" w:rsidP="002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;Courier">
    <w:altName w:val="Times New Roman"/>
    <w:panose1 w:val="00000000000000000000"/>
    <w:charset w:val="00"/>
    <w:family w:val="roman"/>
    <w:notTrueType/>
    <w:pitch w:val="default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8837"/>
      <w:gridCol w:w="523"/>
    </w:tblGrid>
    <w:tr w:rsidR="00286E7A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:rsidR="00286E7A" w:rsidRPr="0001111E" w:rsidRDefault="00E85CCD" w:rsidP="003048B2">
          <w:pPr>
            <w:pStyle w:val="Subsol"/>
            <w:jc w:val="right"/>
            <w:rPr>
              <w:rFonts w:ascii="Trebuchet MS" w:hAnsi="Trebuchet MS"/>
              <w:b/>
              <w:sz w:val="22"/>
              <w:szCs w:val="22"/>
              <w:lang w:val="ro-R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Capitolul</w:t>
          </w:r>
          <w:proofErr w:type="spellEnd"/>
          <w:r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I</w:t>
          </w:r>
          <w:r w:rsidR="00F028F8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</w:t>
          </w:r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</w:t>
          </w:r>
          <w:r w:rsidR="00CF696C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: </w:t>
          </w:r>
          <w:proofErr w:type="spellStart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Analiza</w:t>
          </w:r>
          <w:proofErr w:type="spellEnd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SWOT (</w:t>
          </w:r>
          <w:proofErr w:type="spellStart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analiza</w:t>
          </w:r>
          <w:proofErr w:type="spellEnd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punctelor</w:t>
          </w:r>
          <w:proofErr w:type="spellEnd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tari</w:t>
          </w:r>
          <w:proofErr w:type="spellEnd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, </w:t>
          </w:r>
          <w:proofErr w:type="spellStart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punctelor</w:t>
          </w:r>
          <w:proofErr w:type="spellEnd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slabe</w:t>
          </w:r>
          <w:proofErr w:type="spellEnd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, </w:t>
          </w:r>
          <w:proofErr w:type="spellStart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oportunităților</w:t>
          </w:r>
          <w:proofErr w:type="spellEnd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și</w:t>
          </w:r>
          <w:proofErr w:type="spellEnd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amenințărilor</w:t>
          </w:r>
          <w:proofErr w:type="spellEnd"/>
          <w:r w:rsidR="003048B2" w:rsidRPr="0001111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)</w:t>
          </w:r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:rsidR="00286E7A" w:rsidRPr="00B21CC3" w:rsidRDefault="00DC6B86">
          <w:pPr>
            <w:pStyle w:val="Subsol"/>
            <w:jc w:val="center"/>
            <w:rPr>
              <w:rFonts w:ascii="Trebuchet MS" w:hAnsi="Trebuchet MS"/>
              <w:color w:val="FFFFFF" w:themeColor="background1"/>
              <w:sz w:val="22"/>
              <w:szCs w:val="22"/>
            </w:rPr>
          </w:pPr>
          <w:r w:rsidRPr="00B21C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begin"/>
          </w:r>
          <w:r w:rsidR="00CF696C" w:rsidRPr="00B21CC3">
            <w:rPr>
              <w:rFonts w:ascii="Trebuchet MS" w:hAnsi="Trebuchet MS"/>
              <w:color w:val="FFFFFF" w:themeColor="background1"/>
              <w:sz w:val="22"/>
              <w:szCs w:val="22"/>
            </w:rPr>
            <w:instrText>PAGE</w:instrText>
          </w:r>
          <w:r w:rsidRPr="00B21C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separate"/>
          </w:r>
          <w:r w:rsidR="00F028F8">
            <w:rPr>
              <w:rFonts w:ascii="Trebuchet MS" w:hAnsi="Trebuchet MS"/>
              <w:noProof/>
              <w:color w:val="FFFFFF" w:themeColor="background1"/>
              <w:sz w:val="22"/>
              <w:szCs w:val="22"/>
            </w:rPr>
            <w:t>5</w:t>
          </w:r>
          <w:r w:rsidRPr="00B21C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:rsidR="00286E7A" w:rsidRDefault="00286E7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2F4" w:rsidRDefault="003362F4" w:rsidP="00286E7A">
      <w:pPr>
        <w:spacing w:after="0" w:line="240" w:lineRule="auto"/>
      </w:pPr>
      <w:r>
        <w:separator/>
      </w:r>
    </w:p>
  </w:footnote>
  <w:footnote w:type="continuationSeparator" w:id="0">
    <w:p w:rsidR="003362F4" w:rsidRDefault="003362F4" w:rsidP="0028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2" w:type="pct"/>
      <w:tblLook w:val="04A0" w:firstRow="1" w:lastRow="0" w:firstColumn="1" w:lastColumn="0" w:noHBand="0" w:noVBand="1"/>
    </w:tblPr>
    <w:tblGrid>
      <w:gridCol w:w="5639"/>
      <w:gridCol w:w="3612"/>
    </w:tblGrid>
    <w:tr w:rsidR="00286E7A" w:rsidTr="000B35E9">
      <w:trPr>
        <w:trHeight w:val="475"/>
      </w:trPr>
      <w:tc>
        <w:tcPr>
          <w:tcW w:w="5778" w:type="dxa"/>
          <w:shd w:val="clear" w:color="auto" w:fill="8064A2" w:themeFill="accent4"/>
          <w:vAlign w:val="center"/>
        </w:tcPr>
        <w:p w:rsidR="00286E7A" w:rsidRDefault="003362F4">
          <w:pPr>
            <w:pStyle w:val="Antet"/>
            <w:jc w:val="right"/>
            <w:rPr>
              <w:caps/>
              <w:color w:val="FFFFFF" w:themeColor="background1"/>
            </w:rPr>
          </w:pPr>
          <w:sdt>
            <w:sdtPr>
              <w:alias w:val="Title"/>
              <w:id w:val="1693478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F696C" w:rsidRPr="0001111E">
                <w:rPr>
                  <w:rFonts w:ascii="Trebuchet MS" w:hAnsi="Trebuchet MS"/>
                  <w:b/>
                  <w:caps/>
                  <w:color w:val="FFFFFF" w:themeColor="background1"/>
                  <w:sz w:val="22"/>
                  <w:szCs w:val="2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Grupul de acțiune locală sudul gorjului</w:t>
              </w:r>
            </w:sdtContent>
          </w:sdt>
        </w:p>
      </w:tc>
      <w:tc>
        <w:tcPr>
          <w:tcW w:w="3686" w:type="dxa"/>
          <w:shd w:val="clear" w:color="auto" w:fill="000000" w:themeFill="text1"/>
          <w:vAlign w:val="center"/>
        </w:tcPr>
        <w:p w:rsidR="00286E7A" w:rsidRPr="0001111E" w:rsidRDefault="00CF696C">
          <w:pPr>
            <w:pStyle w:val="Antet"/>
            <w:jc w:val="center"/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01111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Strategia</w:t>
          </w:r>
          <w:proofErr w:type="spellEnd"/>
          <w:r w:rsidRPr="0001111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</w:t>
          </w:r>
          <w:proofErr w:type="spellStart"/>
          <w:r w:rsidRPr="0001111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Dezvoltare</w:t>
          </w:r>
          <w:proofErr w:type="spellEnd"/>
          <w:r w:rsidRPr="0001111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Pr="0001111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Locală</w:t>
          </w:r>
          <w:proofErr w:type="spellEnd"/>
        </w:p>
      </w:tc>
    </w:tr>
  </w:tbl>
  <w:p w:rsidR="00286E7A" w:rsidRDefault="00286E7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2CD1"/>
    <w:multiLevelType w:val="hybridMultilevel"/>
    <w:tmpl w:val="1F2C2452"/>
    <w:lvl w:ilvl="0" w:tplc="5E7A09E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7548"/>
    <w:multiLevelType w:val="hybridMultilevel"/>
    <w:tmpl w:val="5E96FB4E"/>
    <w:lvl w:ilvl="0" w:tplc="80DCD520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187F"/>
    <w:multiLevelType w:val="hybridMultilevel"/>
    <w:tmpl w:val="DC16BE68"/>
    <w:lvl w:ilvl="0" w:tplc="4F96905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45EF8"/>
    <w:multiLevelType w:val="hybridMultilevel"/>
    <w:tmpl w:val="0F8E0A54"/>
    <w:lvl w:ilvl="0" w:tplc="A17CBC5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135AD"/>
    <w:multiLevelType w:val="hybridMultilevel"/>
    <w:tmpl w:val="B266AA76"/>
    <w:lvl w:ilvl="0" w:tplc="4F96905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86530"/>
    <w:multiLevelType w:val="hybridMultilevel"/>
    <w:tmpl w:val="3F5AE328"/>
    <w:lvl w:ilvl="0" w:tplc="A17CBC5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B758A"/>
    <w:multiLevelType w:val="hybridMultilevel"/>
    <w:tmpl w:val="1BD29DFC"/>
    <w:lvl w:ilvl="0" w:tplc="4F96905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6440A"/>
    <w:multiLevelType w:val="hybridMultilevel"/>
    <w:tmpl w:val="D64A576A"/>
    <w:lvl w:ilvl="0" w:tplc="5E7A09E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B2844"/>
    <w:multiLevelType w:val="hybridMultilevel"/>
    <w:tmpl w:val="C7EC5A4C"/>
    <w:lvl w:ilvl="0" w:tplc="5E7A09E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4740A"/>
    <w:multiLevelType w:val="hybridMultilevel"/>
    <w:tmpl w:val="C7A80E44"/>
    <w:lvl w:ilvl="0" w:tplc="80DCD520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514EF"/>
    <w:multiLevelType w:val="hybridMultilevel"/>
    <w:tmpl w:val="794E020A"/>
    <w:lvl w:ilvl="0" w:tplc="5E7A09E0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02A37"/>
    <w:multiLevelType w:val="hybridMultilevel"/>
    <w:tmpl w:val="84C02380"/>
    <w:lvl w:ilvl="0" w:tplc="80DCD520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05D90"/>
    <w:multiLevelType w:val="multilevel"/>
    <w:tmpl w:val="317A950C"/>
    <w:lvl w:ilvl="0">
      <w:start w:val="1"/>
      <w:numFmt w:val="bullet"/>
      <w:lvlText w:val="ý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13" w15:restartNumberingAfterBreak="0">
    <w:nsid w:val="7A445A8F"/>
    <w:multiLevelType w:val="multilevel"/>
    <w:tmpl w:val="3B744B58"/>
    <w:lvl w:ilvl="0">
      <w:start w:val="1"/>
      <w:numFmt w:val="bullet"/>
      <w:lvlText w:val="R"/>
      <w:lvlJc w:val="left"/>
      <w:pPr>
        <w:ind w:left="720" w:hanging="360"/>
      </w:pPr>
      <w:rPr>
        <w:rFonts w:ascii="Wingdings 2" w:hAnsi="Wingdings 2" w:cs="Wingdings 2" w:hint="default"/>
        <w:sz w:val="22"/>
        <w:szCs w:val="22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4" w15:restartNumberingAfterBreak="0">
    <w:nsid w:val="7E9032DA"/>
    <w:multiLevelType w:val="hybridMultilevel"/>
    <w:tmpl w:val="17E85D06"/>
    <w:lvl w:ilvl="0" w:tplc="4F96905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14"/>
  </w:num>
  <w:num w:numId="9">
    <w:abstractNumId w:val="9"/>
  </w:num>
  <w:num w:numId="10">
    <w:abstractNumId w:val="8"/>
  </w:num>
  <w:num w:numId="11">
    <w:abstractNumId w:val="6"/>
  </w:num>
  <w:num w:numId="12">
    <w:abstractNumId w:val="4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7A"/>
    <w:rsid w:val="0001111E"/>
    <w:rsid w:val="000315A3"/>
    <w:rsid w:val="00070100"/>
    <w:rsid w:val="00075F41"/>
    <w:rsid w:val="000B35E9"/>
    <w:rsid w:val="00122E27"/>
    <w:rsid w:val="00160108"/>
    <w:rsid w:val="001C4E4F"/>
    <w:rsid w:val="001D214F"/>
    <w:rsid w:val="0020430B"/>
    <w:rsid w:val="00240CD2"/>
    <w:rsid w:val="0025406A"/>
    <w:rsid w:val="00286E7A"/>
    <w:rsid w:val="002B0F60"/>
    <w:rsid w:val="002C1E0E"/>
    <w:rsid w:val="002C2AE2"/>
    <w:rsid w:val="00303259"/>
    <w:rsid w:val="003048B2"/>
    <w:rsid w:val="003362F4"/>
    <w:rsid w:val="0039753C"/>
    <w:rsid w:val="003F5336"/>
    <w:rsid w:val="00451965"/>
    <w:rsid w:val="004F4F2A"/>
    <w:rsid w:val="00532609"/>
    <w:rsid w:val="0053441D"/>
    <w:rsid w:val="005D5BFA"/>
    <w:rsid w:val="005D7C67"/>
    <w:rsid w:val="005F6C77"/>
    <w:rsid w:val="006768D9"/>
    <w:rsid w:val="0069160E"/>
    <w:rsid w:val="006C2541"/>
    <w:rsid w:val="0072361F"/>
    <w:rsid w:val="007C4101"/>
    <w:rsid w:val="00802B8E"/>
    <w:rsid w:val="00812A75"/>
    <w:rsid w:val="008405B5"/>
    <w:rsid w:val="008945D7"/>
    <w:rsid w:val="008A1AA0"/>
    <w:rsid w:val="008D0D81"/>
    <w:rsid w:val="0094039D"/>
    <w:rsid w:val="00A402F6"/>
    <w:rsid w:val="00A54213"/>
    <w:rsid w:val="00A550FE"/>
    <w:rsid w:val="00A76B52"/>
    <w:rsid w:val="00A832CA"/>
    <w:rsid w:val="00A9666C"/>
    <w:rsid w:val="00AD1A5B"/>
    <w:rsid w:val="00B21CC3"/>
    <w:rsid w:val="00B22185"/>
    <w:rsid w:val="00B3282E"/>
    <w:rsid w:val="00B40A26"/>
    <w:rsid w:val="00B8760F"/>
    <w:rsid w:val="00BA5888"/>
    <w:rsid w:val="00BA6F6E"/>
    <w:rsid w:val="00C10B44"/>
    <w:rsid w:val="00C11F67"/>
    <w:rsid w:val="00C41605"/>
    <w:rsid w:val="00C479B6"/>
    <w:rsid w:val="00C91924"/>
    <w:rsid w:val="00CF5653"/>
    <w:rsid w:val="00CF696C"/>
    <w:rsid w:val="00D57672"/>
    <w:rsid w:val="00D72994"/>
    <w:rsid w:val="00D9289C"/>
    <w:rsid w:val="00DB7245"/>
    <w:rsid w:val="00DC149C"/>
    <w:rsid w:val="00DC6B86"/>
    <w:rsid w:val="00E02F21"/>
    <w:rsid w:val="00E85CCD"/>
    <w:rsid w:val="00E9320C"/>
    <w:rsid w:val="00ED1802"/>
    <w:rsid w:val="00F028F8"/>
    <w:rsid w:val="00FA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CBB9C-3FC9-421F-9085-3CD0D539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bidi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Titlu7">
    <w:name w:val="heading 7"/>
    <w:basedOn w:val="Normal"/>
    <w:next w:val="Normal"/>
    <w:link w:val="Titlu7Caracte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Titlu8">
    <w:name w:val="heading 8"/>
    <w:basedOn w:val="Normal"/>
    <w:next w:val="Normal"/>
    <w:link w:val="Titlu8Caracte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Titlu9">
    <w:name w:val="heading 9"/>
    <w:basedOn w:val="Normal"/>
    <w:next w:val="Normal"/>
    <w:link w:val="Titlu9Caracte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Titlu5Caracter">
    <w:name w:val="Titlu 5 Caracter"/>
    <w:basedOn w:val="Fontdeparagrafimplicit"/>
    <w:link w:val="Titlu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Titlu6Caracter">
    <w:name w:val="Titlu 6 Caracter"/>
    <w:basedOn w:val="Fontdeparagrafimplicit"/>
    <w:link w:val="Titlu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Titlu7Caracter">
    <w:name w:val="Titlu 7 Caracter"/>
    <w:basedOn w:val="Fontdeparagrafimplicit"/>
    <w:link w:val="Titlu7"/>
    <w:uiPriority w:val="9"/>
    <w:qFormat/>
    <w:rsid w:val="002332C1"/>
    <w:rPr>
      <w:b/>
      <w:smallCaps/>
      <w:color w:val="C0504D"/>
      <w:spacing w:val="10"/>
    </w:rPr>
  </w:style>
  <w:style w:type="character" w:customStyle="1" w:styleId="Titlu8Caracter">
    <w:name w:val="Titlu 8 Caracter"/>
    <w:basedOn w:val="Fontdeparagrafimplicit"/>
    <w:link w:val="Titlu8"/>
    <w:uiPriority w:val="9"/>
    <w:qFormat/>
    <w:rsid w:val="002332C1"/>
    <w:rPr>
      <w:b/>
      <w:i/>
      <w:smallCaps/>
      <w:color w:val="943634"/>
    </w:rPr>
  </w:style>
  <w:style w:type="character" w:customStyle="1" w:styleId="Titlu9Caracter">
    <w:name w:val="Titlu 9 Caracter"/>
    <w:basedOn w:val="Fontdeparagrafimplicit"/>
    <w:link w:val="Titlu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uCaracter">
    <w:name w:val="Titlu Caracter"/>
    <w:basedOn w:val="Fontdeparagrafimplicit"/>
    <w:link w:val="Titlu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uCaracter">
    <w:name w:val="Subtitlu Caracter"/>
    <w:basedOn w:val="Fontdeparagrafimplicit"/>
    <w:link w:val="Subtitlu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Robust">
    <w:name w:val="Strong"/>
    <w:uiPriority w:val="22"/>
    <w:qFormat/>
    <w:rsid w:val="002332C1"/>
    <w:rPr>
      <w:b/>
      <w:color w:val="C0504D"/>
    </w:rPr>
  </w:style>
  <w:style w:type="character" w:styleId="Accentuat">
    <w:name w:val="Emphasis"/>
    <w:uiPriority w:val="20"/>
    <w:qFormat/>
    <w:rsid w:val="002332C1"/>
    <w:rPr>
      <w:b/>
      <w:i/>
      <w:spacing w:val="10"/>
    </w:rPr>
  </w:style>
  <w:style w:type="character" w:customStyle="1" w:styleId="FrspaiereCaracter">
    <w:name w:val="Fără spațiere Caracter"/>
    <w:basedOn w:val="Fontdeparagrafimplicit"/>
    <w:link w:val="Frspaiere"/>
    <w:uiPriority w:val="1"/>
    <w:qFormat/>
    <w:rsid w:val="002332C1"/>
    <w:rPr>
      <w:rFonts w:eastAsiaTheme="minorEastAsia"/>
      <w:lang w:bidi="en-US"/>
    </w:rPr>
  </w:style>
  <w:style w:type="character" w:customStyle="1" w:styleId="ListparagrafCaracter">
    <w:name w:val="Listă paragraf Caracter"/>
    <w:basedOn w:val="Fontdeparagrafimplicit"/>
    <w:link w:val="Listparagraf"/>
    <w:uiPriority w:val="34"/>
    <w:qFormat/>
    <w:rsid w:val="002332C1"/>
    <w:rPr>
      <w:lang w:bidi="en-US"/>
    </w:rPr>
  </w:style>
  <w:style w:type="character" w:customStyle="1" w:styleId="CitatCaracter">
    <w:name w:val="Citat Caracter"/>
    <w:basedOn w:val="Fontdeparagrafimplicit"/>
    <w:link w:val="Citat"/>
    <w:uiPriority w:val="29"/>
    <w:qFormat/>
    <w:rsid w:val="002332C1"/>
    <w:rPr>
      <w:rFonts w:eastAsia="Calibri"/>
      <w:i/>
    </w:rPr>
  </w:style>
  <w:style w:type="character" w:customStyle="1" w:styleId="CitatintensCaracter">
    <w:name w:val="Citat intens Caracter"/>
    <w:basedOn w:val="Fontdeparagrafimplicit"/>
    <w:link w:val="Citatintens"/>
    <w:uiPriority w:val="30"/>
    <w:qFormat/>
    <w:rsid w:val="002332C1"/>
    <w:rPr>
      <w:i/>
      <w:color w:val="FFFFFF"/>
      <w:shd w:val="clear" w:color="auto" w:fill="C0504D"/>
    </w:rPr>
  </w:style>
  <w:style w:type="character" w:styleId="Accentuaresubtil">
    <w:name w:val="Subtle Emphasis"/>
    <w:uiPriority w:val="19"/>
    <w:qFormat/>
    <w:rsid w:val="002332C1"/>
    <w:rPr>
      <w:i/>
    </w:rPr>
  </w:style>
  <w:style w:type="character" w:styleId="Accentuareinten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Referiresubtil">
    <w:name w:val="Subtle Reference"/>
    <w:uiPriority w:val="31"/>
    <w:qFormat/>
    <w:rsid w:val="002332C1"/>
    <w:rPr>
      <w:b/>
    </w:rPr>
  </w:style>
  <w:style w:type="character" w:styleId="Referireintens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Titlulcrii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Fontdeparagrafimplicit"/>
    <w:uiPriority w:val="99"/>
    <w:unhideWhenUsed/>
    <w:rsid w:val="00187154"/>
    <w:rPr>
      <w:color w:val="0000FF" w:themeColor="hyperlink"/>
      <w:u w:val="singl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qFormat/>
    <w:rsid w:val="00D602B4"/>
    <w:rPr>
      <w:lang w:bidi="en-US"/>
    </w:rPr>
  </w:style>
  <w:style w:type="character" w:styleId="Referinnotdesubsol">
    <w:name w:val="footnote reference"/>
    <w:basedOn w:val="Fontdeparagrafimplici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Fontdeparagrafimplicit"/>
    <w:uiPriority w:val="99"/>
    <w:semiHidden/>
    <w:qFormat/>
    <w:rsid w:val="00D602B4"/>
    <w:rPr>
      <w:lang w:bidi="en-US"/>
    </w:rPr>
  </w:style>
  <w:style w:type="character" w:customStyle="1" w:styleId="AntetCaracter">
    <w:name w:val="Antet Caracter"/>
    <w:basedOn w:val="Fontdeparagrafimplicit"/>
    <w:link w:val="Antet"/>
    <w:uiPriority w:val="99"/>
    <w:qFormat/>
    <w:rsid w:val="00CD33BD"/>
    <w:rPr>
      <w:lang w:bidi="en-US"/>
    </w:rPr>
  </w:style>
  <w:style w:type="character" w:customStyle="1" w:styleId="SubsolCaracter">
    <w:name w:val="Subsol Caracter"/>
    <w:basedOn w:val="Fontdeparagrafimplicit"/>
    <w:link w:val="Subsol"/>
    <w:uiPriority w:val="99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Legend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u">
    <w:name w:val="Title"/>
    <w:basedOn w:val="Normal"/>
    <w:next w:val="Normal"/>
    <w:link w:val="TitluCaracte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Frspaiere">
    <w:name w:val="No Spacing"/>
    <w:basedOn w:val="Normal"/>
    <w:link w:val="FrspaiereCaracte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f">
    <w:name w:val="List Paragraph"/>
    <w:basedOn w:val="Normal"/>
    <w:link w:val="ListparagrafCaracter"/>
    <w:uiPriority w:val="34"/>
    <w:qFormat/>
    <w:rsid w:val="002332C1"/>
    <w:pPr>
      <w:ind w:left="720"/>
      <w:contextualSpacing/>
    </w:pPr>
  </w:style>
  <w:style w:type="paragraph" w:styleId="Citat">
    <w:name w:val="Quote"/>
    <w:basedOn w:val="Normal"/>
    <w:next w:val="Normal"/>
    <w:link w:val="CitatCaracter"/>
    <w:uiPriority w:val="29"/>
    <w:qFormat/>
    <w:rsid w:val="002332C1"/>
    <w:rPr>
      <w:rFonts w:eastAsia="Calibri"/>
      <w:i/>
      <w:lang w:bidi="ar-SA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Titlu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Textnotdesubsol">
    <w:name w:val="footnote text"/>
    <w:basedOn w:val="Normal"/>
    <w:link w:val="TextnotdesubsolCaracte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Antet">
    <w:name w:val="header"/>
    <w:basedOn w:val="Normal"/>
    <w:link w:val="AntetCaracte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Subsol">
    <w:name w:val="footer"/>
    <w:basedOn w:val="Normal"/>
    <w:link w:val="SubsolCaracte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3929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1C4E4F"/>
    <w:pPr>
      <w:widowControl w:val="0"/>
      <w:spacing w:after="0" w:line="240" w:lineRule="auto"/>
    </w:pPr>
    <w:rPr>
      <w:rFonts w:ascii="Liberation Serif;Times New Roma" w:eastAsia="SimSun;宋体" w:hAnsi="Liberation Serif;Times New Roma" w:cs="Mangal;Courier"/>
      <w:sz w:val="24"/>
      <w:szCs w:val="24"/>
      <w:lang w:val="ro-RO" w:eastAsia="zh-CN" w:bidi="hi-IN"/>
    </w:rPr>
  </w:style>
  <w:style w:type="table" w:styleId="Umbriremedie1-Accentuare4">
    <w:name w:val="Medium Shading 1 Accent 4"/>
    <w:basedOn w:val="TabelNormal"/>
    <w:uiPriority w:val="63"/>
    <w:rsid w:val="008D0D8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deculoaredeschis-Accentuare4">
    <w:name w:val="Light List Accent 4"/>
    <w:basedOn w:val="TabelNormal"/>
    <w:uiPriority w:val="61"/>
    <w:rsid w:val="008D0D8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E722D-1BE5-4F01-BB80-74899F8A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1666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Grupul de acțiune locală sudul gorjului</vt:lpstr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Diana</cp:lastModifiedBy>
  <cp:revision>2</cp:revision>
  <cp:lastPrinted>2016-04-26T21:08:00Z</cp:lastPrinted>
  <dcterms:created xsi:type="dcterms:W3CDTF">2019-12-19T22:01:00Z</dcterms:created>
  <dcterms:modified xsi:type="dcterms:W3CDTF">2019-12-19T22:01:00Z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