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34" w:rsidRPr="00FD649B" w:rsidRDefault="00810C0B" w:rsidP="00FD649B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FD649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CAPITOLUL X</w:t>
      </w:r>
      <w:r w:rsidR="0095213E" w:rsidRPr="00FD649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. </w:t>
      </w:r>
      <w:r w:rsidR="00380258" w:rsidRPr="00FD649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PLANUL DE FINANTARE AL STRATEGIEI</w:t>
      </w:r>
      <w:r w:rsidR="00F773CC" w:rsidRPr="00FD649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 </w:t>
      </w:r>
    </w:p>
    <w:p w:rsidR="0067316C" w:rsidRPr="00FD649B" w:rsidRDefault="0067316C" w:rsidP="00FD649B">
      <w:pPr>
        <w:spacing w:after="0"/>
        <w:rPr>
          <w:rFonts w:ascii="Trebuchet MS" w:hAnsi="Trebuchet MS"/>
          <w:sz w:val="22"/>
          <w:szCs w:val="22"/>
        </w:rPr>
      </w:pPr>
    </w:p>
    <w:p w:rsidR="0067316C" w:rsidRPr="00FD649B" w:rsidRDefault="0067316C" w:rsidP="00FD649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FD649B">
        <w:rPr>
          <w:rFonts w:ascii="Trebuchet MS" w:hAnsi="Trebuchet MS"/>
          <w:sz w:val="22"/>
          <w:szCs w:val="22"/>
        </w:rPr>
        <w:t xml:space="preserve">Suma </w:t>
      </w:r>
      <w:proofErr w:type="spellStart"/>
      <w:r w:rsidRPr="00FD649B">
        <w:rPr>
          <w:rFonts w:ascii="Trebuchet MS" w:hAnsi="Trebuchet MS"/>
          <w:sz w:val="22"/>
          <w:szCs w:val="22"/>
        </w:rPr>
        <w:t>publică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totală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alocată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pentru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S</w:t>
      </w:r>
      <w:r w:rsidRPr="00FD649B">
        <w:rPr>
          <w:rFonts w:ascii="Trebuchet MS" w:hAnsi="Trebuchet MS"/>
          <w:sz w:val="22"/>
          <w:szCs w:val="22"/>
        </w:rPr>
        <w:t>trategia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D</w:t>
      </w:r>
      <w:r w:rsidRPr="00FD649B">
        <w:rPr>
          <w:rFonts w:ascii="Trebuchet MS" w:hAnsi="Trebuchet MS"/>
          <w:sz w:val="22"/>
          <w:szCs w:val="22"/>
        </w:rPr>
        <w:t>ezvoltare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L</w:t>
      </w:r>
      <w:r w:rsidRPr="00FD649B">
        <w:rPr>
          <w:rFonts w:ascii="Trebuchet MS" w:hAnsi="Trebuchet MS"/>
          <w:sz w:val="22"/>
          <w:szCs w:val="22"/>
        </w:rPr>
        <w:t>ocală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Grupului</w:t>
      </w:r>
      <w:proofErr w:type="spellEnd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de </w:t>
      </w:r>
      <w:proofErr w:type="spellStart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Acțiune</w:t>
      </w:r>
      <w:proofErr w:type="spellEnd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Locală</w:t>
      </w:r>
      <w:proofErr w:type="spellEnd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Sudul</w:t>
      </w:r>
      <w:proofErr w:type="spellEnd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Gorjului</w:t>
      </w:r>
      <w:proofErr w:type="spellEnd"/>
      <w:r w:rsidR="00431077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este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r w:rsidR="00F36BCA" w:rsidRPr="00FD649B">
        <w:rPr>
          <w:rFonts w:ascii="Trebuchet MS" w:hAnsi="Trebuchet MS"/>
          <w:b/>
          <w:color w:val="FFFFFF" w:themeColor="background1"/>
          <w:sz w:val="22"/>
          <w:szCs w:val="22"/>
          <w:shd w:val="clear" w:color="auto" w:fill="5F497A" w:themeFill="accent4" w:themeFillShade="BF"/>
          <w:lang w:val="ro-RO"/>
        </w:rPr>
        <w:t>2.672.220</w:t>
      </w:r>
      <w:proofErr w:type="gramStart"/>
      <w:r w:rsidR="00F36BCA" w:rsidRPr="00FD649B">
        <w:rPr>
          <w:rFonts w:ascii="Trebuchet MS" w:hAnsi="Trebuchet MS"/>
          <w:b/>
          <w:color w:val="FFFFFF" w:themeColor="background1"/>
          <w:sz w:val="22"/>
          <w:szCs w:val="22"/>
          <w:shd w:val="clear" w:color="auto" w:fill="5F497A" w:themeFill="accent4" w:themeFillShade="BF"/>
          <w:lang w:val="ro-RO"/>
        </w:rPr>
        <w:t>,62</w:t>
      </w:r>
      <w:proofErr w:type="gramEnd"/>
      <w:r w:rsidR="00F36BCA" w:rsidRPr="00FD649B">
        <w:rPr>
          <w:rFonts w:ascii="Trebuchet MS" w:hAnsi="Trebuchet MS"/>
          <w:b/>
          <w:color w:val="FFFFFF" w:themeColor="background1"/>
          <w:sz w:val="22"/>
          <w:szCs w:val="22"/>
          <w:shd w:val="clear" w:color="auto" w:fill="5F497A" w:themeFill="accent4" w:themeFillShade="BF"/>
          <w:lang w:val="ro-RO"/>
        </w:rPr>
        <w:t xml:space="preserve"> Euro.</w:t>
      </w:r>
    </w:p>
    <w:p w:rsidR="0067316C" w:rsidRPr="00FD649B" w:rsidRDefault="0067316C" w:rsidP="00FD649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D649B">
        <w:rPr>
          <w:rFonts w:ascii="Trebuchet MS" w:hAnsi="Trebuchet MS"/>
          <w:sz w:val="22"/>
          <w:szCs w:val="22"/>
        </w:rPr>
        <w:t>Planul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sz w:val="22"/>
          <w:szCs w:val="22"/>
        </w:rPr>
        <w:t>finanțare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FD649B">
        <w:rPr>
          <w:rFonts w:ascii="Trebuchet MS" w:hAnsi="Trebuchet MS"/>
          <w:sz w:val="22"/>
          <w:szCs w:val="22"/>
        </w:rPr>
        <w:t>Strategiei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sz w:val="22"/>
          <w:szCs w:val="22"/>
        </w:rPr>
        <w:t>Dezvoltare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Locală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este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constituit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Componenta</w:t>
      </w:r>
      <w:proofErr w:type="spellEnd"/>
      <w:r w:rsidRPr="00FD649B">
        <w:rPr>
          <w:rFonts w:ascii="Trebuchet MS" w:hAnsi="Trebuchet MS"/>
          <w:b/>
          <w:sz w:val="22"/>
          <w:szCs w:val="22"/>
        </w:rPr>
        <w:t xml:space="preserve"> A</w:t>
      </w:r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și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Componenta</w:t>
      </w:r>
      <w:proofErr w:type="spellEnd"/>
      <w:r w:rsidRPr="00FD649B">
        <w:rPr>
          <w:rFonts w:ascii="Trebuchet MS" w:hAnsi="Trebuchet MS"/>
          <w:b/>
          <w:sz w:val="22"/>
          <w:szCs w:val="22"/>
        </w:rPr>
        <w:t xml:space="preserve"> B</w:t>
      </w:r>
      <w:r w:rsidRPr="00FD649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D649B">
        <w:rPr>
          <w:rFonts w:ascii="Trebuchet MS" w:hAnsi="Trebuchet MS"/>
          <w:sz w:val="22"/>
          <w:szCs w:val="22"/>
        </w:rPr>
        <w:t>iar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31077" w:rsidRPr="00FD649B">
        <w:rPr>
          <w:rFonts w:ascii="Trebuchet MS" w:hAnsi="Trebuchet MS"/>
          <w:b/>
          <w:sz w:val="22"/>
          <w:szCs w:val="22"/>
        </w:rPr>
        <w:t>algoritmul</w:t>
      </w:r>
      <w:proofErr w:type="spellEnd"/>
      <w:r w:rsidRPr="00FD649B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b/>
          <w:sz w:val="22"/>
          <w:szCs w:val="22"/>
        </w:rPr>
        <w:t>calcul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este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redat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mai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jos</w:t>
      </w:r>
      <w:proofErr w:type="spellEnd"/>
      <w:r w:rsidRPr="00FD649B">
        <w:rPr>
          <w:rFonts w:ascii="Trebuchet MS" w:hAnsi="Trebuchet MS"/>
          <w:sz w:val="22"/>
          <w:szCs w:val="22"/>
        </w:rPr>
        <w:t>:</w:t>
      </w:r>
    </w:p>
    <w:tbl>
      <w:tblPr>
        <w:tblStyle w:val="MediumShading1-Accent4"/>
        <w:tblW w:w="9464" w:type="dxa"/>
        <w:tblLook w:val="04A0"/>
      </w:tblPr>
      <w:tblGrid>
        <w:gridCol w:w="2518"/>
        <w:gridCol w:w="2126"/>
        <w:gridCol w:w="2410"/>
        <w:gridCol w:w="2410"/>
      </w:tblGrid>
      <w:tr w:rsidR="00F36BCA" w:rsidRPr="00FD649B" w:rsidTr="00593A04">
        <w:trPr>
          <w:cnfStyle w:val="100000000000"/>
        </w:trPr>
        <w:tc>
          <w:tcPr>
            <w:cnfStyle w:val="001000000000"/>
            <w:tcW w:w="9464" w:type="dxa"/>
            <w:gridSpan w:val="4"/>
          </w:tcPr>
          <w:p w:rsidR="00F36BCA" w:rsidRPr="00FD649B" w:rsidRDefault="00F36BCA" w:rsidP="00FD649B">
            <w:pPr>
              <w:spacing w:after="0" w:line="276" w:lineRule="auto"/>
              <w:rPr>
                <w:rFonts w:ascii="Trebuchet MS" w:hAnsi="Trebuchet MS"/>
                <w:shadow/>
                <w:color w:val="FFFFFF" w:themeColor="background1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hadow/>
                <w:color w:val="FFFFFF" w:themeColor="background1"/>
                <w:sz w:val="22"/>
                <w:szCs w:val="22"/>
                <w:lang w:val="ro-RO"/>
              </w:rPr>
              <w:t>Componenta A – Valoarea aferenta teritoriului si populatiei vizate de SDL</w:t>
            </w:r>
          </w:p>
        </w:tc>
      </w:tr>
      <w:tr w:rsidR="0037612F" w:rsidRPr="00FD649B" w:rsidTr="00593A04">
        <w:trPr>
          <w:cnfStyle w:val="000000100000"/>
        </w:trPr>
        <w:tc>
          <w:tcPr>
            <w:cnfStyle w:val="001000000000"/>
            <w:tcW w:w="2518" w:type="dxa"/>
          </w:tcPr>
          <w:p w:rsidR="0037612F" w:rsidRPr="00FD649B" w:rsidRDefault="00F36BCA" w:rsidP="00FD649B">
            <w:pPr>
              <w:spacing w:after="0"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z w:val="22"/>
                <w:szCs w:val="22"/>
                <w:lang w:val="ro-RO"/>
              </w:rPr>
              <w:t>Indicator</w:t>
            </w:r>
          </w:p>
        </w:tc>
        <w:tc>
          <w:tcPr>
            <w:tcW w:w="2126" w:type="dxa"/>
          </w:tcPr>
          <w:p w:rsidR="0037612F" w:rsidRPr="00FD649B" w:rsidRDefault="00F36BCA" w:rsidP="00FD649B">
            <w:pPr>
              <w:spacing w:after="0" w:line="276" w:lineRule="auto"/>
              <w:jc w:val="center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Valoare indicator</w:t>
            </w:r>
          </w:p>
        </w:tc>
        <w:tc>
          <w:tcPr>
            <w:tcW w:w="2410" w:type="dxa"/>
          </w:tcPr>
          <w:p w:rsidR="0037612F" w:rsidRPr="00FD649B" w:rsidRDefault="00593A04" w:rsidP="00FD649B">
            <w:pPr>
              <w:spacing w:after="0" w:line="276" w:lineRule="auto"/>
              <w:jc w:val="center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Cuantum indicator</w:t>
            </w:r>
          </w:p>
        </w:tc>
        <w:tc>
          <w:tcPr>
            <w:tcW w:w="2410" w:type="dxa"/>
          </w:tcPr>
          <w:p w:rsidR="0037612F" w:rsidRPr="00FD649B" w:rsidRDefault="003811BD" w:rsidP="00FD649B">
            <w:pPr>
              <w:spacing w:after="0" w:line="276" w:lineRule="auto"/>
              <w:jc w:val="center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Calcul </w:t>
            </w:r>
          </w:p>
        </w:tc>
      </w:tr>
      <w:tr w:rsidR="00D409FA" w:rsidRPr="00FD649B" w:rsidTr="00593A04">
        <w:trPr>
          <w:cnfStyle w:val="000000010000"/>
        </w:trPr>
        <w:tc>
          <w:tcPr>
            <w:cnfStyle w:val="001000000000"/>
            <w:tcW w:w="2518" w:type="dxa"/>
          </w:tcPr>
          <w:p w:rsidR="00D409FA" w:rsidRPr="00FD649B" w:rsidRDefault="00D409FA" w:rsidP="00FD649B">
            <w:pPr>
              <w:spacing w:after="0" w:line="276" w:lineRule="auto"/>
              <w:jc w:val="center"/>
              <w:rPr>
                <w:rFonts w:ascii="Trebuchet MS" w:hAnsi="Trebuchet MS"/>
                <w:b w:val="0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 w:val="0"/>
                <w:sz w:val="22"/>
                <w:szCs w:val="22"/>
                <w:lang w:val="ro-RO"/>
              </w:rPr>
              <w:t>1</w:t>
            </w:r>
          </w:p>
        </w:tc>
        <w:tc>
          <w:tcPr>
            <w:tcW w:w="2126" w:type="dxa"/>
          </w:tcPr>
          <w:p w:rsidR="00D409FA" w:rsidRPr="00FD649B" w:rsidRDefault="00D409FA" w:rsidP="00FD649B">
            <w:pPr>
              <w:spacing w:after="0" w:line="276" w:lineRule="auto"/>
              <w:jc w:val="center"/>
              <w:cnfStyle w:val="00000001000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410" w:type="dxa"/>
          </w:tcPr>
          <w:p w:rsidR="00D409FA" w:rsidRPr="00FD649B" w:rsidRDefault="00D409FA" w:rsidP="00FD649B">
            <w:pPr>
              <w:spacing w:after="0" w:line="276" w:lineRule="auto"/>
              <w:jc w:val="center"/>
              <w:cnfStyle w:val="00000001000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410" w:type="dxa"/>
          </w:tcPr>
          <w:p w:rsidR="00D409FA" w:rsidRPr="00FD649B" w:rsidRDefault="00D409FA" w:rsidP="00FD649B">
            <w:pPr>
              <w:spacing w:after="0" w:line="276" w:lineRule="auto"/>
              <w:jc w:val="center"/>
              <w:cnfStyle w:val="00000001000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z w:val="22"/>
                <w:szCs w:val="22"/>
                <w:lang w:val="ro-RO"/>
              </w:rPr>
              <w:t>4 = 2 x 3</w:t>
            </w:r>
          </w:p>
        </w:tc>
      </w:tr>
      <w:tr w:rsidR="0037612F" w:rsidRPr="00FD649B" w:rsidTr="00593A04">
        <w:trPr>
          <w:cnfStyle w:val="000000100000"/>
        </w:trPr>
        <w:tc>
          <w:tcPr>
            <w:cnfStyle w:val="001000000000"/>
            <w:tcW w:w="2518" w:type="dxa"/>
          </w:tcPr>
          <w:p w:rsidR="0037612F" w:rsidRPr="00FD649B" w:rsidRDefault="0037612F" w:rsidP="00FD649B">
            <w:pPr>
              <w:spacing w:after="0"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proofErr w:type="spellStart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>Populația</w:t>
            </w:r>
            <w:proofErr w:type="spellEnd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>teritoriului</w:t>
            </w:r>
            <w:proofErr w:type="spellEnd"/>
          </w:p>
        </w:tc>
        <w:tc>
          <w:tcPr>
            <w:tcW w:w="2126" w:type="dxa"/>
          </w:tcPr>
          <w:p w:rsidR="0037612F" w:rsidRPr="00FD649B" w:rsidRDefault="0037612F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78.292 locuitori</w:t>
            </w:r>
          </w:p>
        </w:tc>
        <w:tc>
          <w:tcPr>
            <w:tcW w:w="2410" w:type="dxa"/>
          </w:tcPr>
          <w:p w:rsidR="0037612F" w:rsidRPr="00FD649B" w:rsidRDefault="0037612F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19,84 Euro</w:t>
            </w:r>
          </w:p>
        </w:tc>
        <w:tc>
          <w:tcPr>
            <w:tcW w:w="2410" w:type="dxa"/>
          </w:tcPr>
          <w:p w:rsidR="0037612F" w:rsidRPr="00FD649B" w:rsidRDefault="0037612F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1.553.313</w:t>
            </w:r>
            <w:r w:rsidR="006455AE"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,28</w:t>
            </w: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Euro</w:t>
            </w:r>
          </w:p>
        </w:tc>
      </w:tr>
      <w:tr w:rsidR="0037612F" w:rsidRPr="00FD649B" w:rsidTr="00593A04">
        <w:trPr>
          <w:cnfStyle w:val="000000010000"/>
        </w:trPr>
        <w:tc>
          <w:tcPr>
            <w:cnfStyle w:val="001000000000"/>
            <w:tcW w:w="2518" w:type="dxa"/>
          </w:tcPr>
          <w:p w:rsidR="0037612F" w:rsidRPr="00FD649B" w:rsidRDefault="00577EDF" w:rsidP="00FD649B">
            <w:pPr>
              <w:spacing w:after="0"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proofErr w:type="spellStart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>Suprafața</w:t>
            </w:r>
            <w:proofErr w:type="spellEnd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bCs w:val="0"/>
                <w:sz w:val="22"/>
                <w:szCs w:val="22"/>
              </w:rPr>
              <w:t>teritoriului</w:t>
            </w:r>
            <w:proofErr w:type="spellEnd"/>
          </w:p>
        </w:tc>
        <w:tc>
          <w:tcPr>
            <w:tcW w:w="2126" w:type="dxa"/>
          </w:tcPr>
          <w:p w:rsidR="0037612F" w:rsidRPr="00FD649B" w:rsidRDefault="00577EDF" w:rsidP="00FD649B">
            <w:pPr>
              <w:spacing w:after="0" w:line="276" w:lineRule="auto"/>
              <w:jc w:val="right"/>
              <w:cnfStyle w:val="000000010000"/>
              <w:rPr>
                <w:rFonts w:ascii="Trebuchet MS" w:hAnsi="Trebuchet MS"/>
                <w:b/>
                <w:sz w:val="22"/>
                <w:szCs w:val="22"/>
                <w:vertAlign w:val="superscript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1.</w:t>
            </w:r>
            <w:r w:rsidR="006455AE"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135,52</w:t>
            </w: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km</w:t>
            </w:r>
            <w:r w:rsidRPr="00FD649B">
              <w:rPr>
                <w:rFonts w:ascii="Trebuchet MS" w:hAnsi="Trebuchet MS"/>
                <w:b/>
                <w:sz w:val="22"/>
                <w:szCs w:val="22"/>
                <w:vertAlign w:val="superscript"/>
                <w:lang w:val="ro-RO"/>
              </w:rPr>
              <w:t>2</w:t>
            </w:r>
          </w:p>
        </w:tc>
        <w:tc>
          <w:tcPr>
            <w:tcW w:w="2410" w:type="dxa"/>
          </w:tcPr>
          <w:p w:rsidR="0037612F" w:rsidRPr="00FD649B" w:rsidRDefault="00577EDF" w:rsidP="00FD649B">
            <w:pPr>
              <w:spacing w:after="0" w:line="276" w:lineRule="auto"/>
              <w:jc w:val="right"/>
              <w:cnfStyle w:val="00000001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985,37 Euro</w:t>
            </w:r>
          </w:p>
        </w:tc>
        <w:tc>
          <w:tcPr>
            <w:tcW w:w="2410" w:type="dxa"/>
          </w:tcPr>
          <w:p w:rsidR="0037612F" w:rsidRPr="00FD649B" w:rsidRDefault="00577EDF" w:rsidP="00FD649B">
            <w:pPr>
              <w:spacing w:after="0" w:line="276" w:lineRule="auto"/>
              <w:jc w:val="right"/>
              <w:cnfStyle w:val="00000001000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1.</w:t>
            </w:r>
            <w:r w:rsidR="006455AE"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>118.907,34</w:t>
            </w:r>
            <w:r w:rsidRPr="00FD649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Euro</w:t>
            </w:r>
          </w:p>
        </w:tc>
      </w:tr>
      <w:tr w:rsidR="00577EDF" w:rsidRPr="00FD649B" w:rsidTr="005F48CE">
        <w:trPr>
          <w:cnfStyle w:val="000000100000"/>
        </w:trPr>
        <w:tc>
          <w:tcPr>
            <w:cnfStyle w:val="001000000000"/>
            <w:tcW w:w="7054" w:type="dxa"/>
            <w:gridSpan w:val="3"/>
            <w:shd w:val="clear" w:color="auto" w:fill="403152" w:themeFill="accent4" w:themeFillShade="80"/>
          </w:tcPr>
          <w:p w:rsidR="00577EDF" w:rsidRPr="00FD649B" w:rsidRDefault="00577EDF" w:rsidP="00FD649B">
            <w:pPr>
              <w:spacing w:after="0" w:line="276" w:lineRule="auto"/>
              <w:jc w:val="left"/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>TOTAL</w:t>
            </w:r>
            <w:r w:rsidR="00F36BCA" w:rsidRPr="00FD649B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 xml:space="preserve"> Componenta A</w:t>
            </w:r>
          </w:p>
        </w:tc>
        <w:tc>
          <w:tcPr>
            <w:tcW w:w="2410" w:type="dxa"/>
            <w:shd w:val="clear" w:color="auto" w:fill="403152" w:themeFill="accent4" w:themeFillShade="80"/>
          </w:tcPr>
          <w:p w:rsidR="00577EDF" w:rsidRPr="00FD649B" w:rsidRDefault="00577EDF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color w:val="FFFFFF" w:themeColor="background1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b/>
                <w:color w:val="FFFFFF" w:themeColor="background1"/>
                <w:sz w:val="22"/>
                <w:szCs w:val="22"/>
                <w:lang w:val="ro-RO"/>
              </w:rPr>
              <w:t>2.</w:t>
            </w:r>
            <w:r w:rsidR="006455AE" w:rsidRPr="00FD649B">
              <w:rPr>
                <w:rFonts w:ascii="Trebuchet MS" w:hAnsi="Trebuchet MS"/>
                <w:b/>
                <w:color w:val="FFFFFF" w:themeColor="background1"/>
                <w:sz w:val="22"/>
                <w:szCs w:val="22"/>
                <w:lang w:val="ro-RO"/>
              </w:rPr>
              <w:t>672.220,62</w:t>
            </w:r>
            <w:r w:rsidRPr="00FD649B">
              <w:rPr>
                <w:rFonts w:ascii="Trebuchet MS" w:hAnsi="Trebuchet MS"/>
                <w:b/>
                <w:color w:val="FFFFFF" w:themeColor="background1"/>
                <w:sz w:val="22"/>
                <w:szCs w:val="22"/>
                <w:lang w:val="ro-RO"/>
              </w:rPr>
              <w:t xml:space="preserve"> Euro</w:t>
            </w:r>
          </w:p>
        </w:tc>
      </w:tr>
    </w:tbl>
    <w:p w:rsidR="0067316C" w:rsidRPr="00FD649B" w:rsidRDefault="0067316C" w:rsidP="00FD649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D649B">
        <w:rPr>
          <w:rFonts w:ascii="Trebuchet MS" w:hAnsi="Trebuchet MS"/>
          <w:sz w:val="22"/>
          <w:szCs w:val="22"/>
        </w:rPr>
        <w:t>În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urma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analizei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diagnostic, </w:t>
      </w:r>
      <w:proofErr w:type="gramStart"/>
      <w:r w:rsidRPr="00FD649B">
        <w:rPr>
          <w:rFonts w:ascii="Trebuchet MS" w:hAnsi="Trebuchet MS"/>
          <w:sz w:val="22"/>
          <w:szCs w:val="22"/>
        </w:rPr>
        <w:t>a</w:t>
      </w:r>
      <w:proofErr w:type="gram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analizei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SWOT </w:t>
      </w:r>
      <w:proofErr w:type="spellStart"/>
      <w:r w:rsidRPr="00FD649B">
        <w:rPr>
          <w:rFonts w:ascii="Trebuchet MS" w:hAnsi="Trebuchet MS"/>
          <w:sz w:val="22"/>
          <w:szCs w:val="22"/>
        </w:rPr>
        <w:t>și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FD649B">
        <w:rPr>
          <w:rFonts w:ascii="Trebuchet MS" w:hAnsi="Trebuchet MS"/>
          <w:sz w:val="22"/>
          <w:szCs w:val="22"/>
        </w:rPr>
        <w:t>indicatorilor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sz w:val="22"/>
          <w:szCs w:val="22"/>
        </w:rPr>
        <w:t>rezultat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stabiliți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, s-au </w:t>
      </w:r>
      <w:proofErr w:type="spellStart"/>
      <w:r w:rsidRPr="00FD649B">
        <w:rPr>
          <w:rFonts w:ascii="Trebuchet MS" w:hAnsi="Trebuchet MS"/>
          <w:sz w:val="22"/>
          <w:szCs w:val="22"/>
        </w:rPr>
        <w:t>definit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prioritățile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direct </w:t>
      </w:r>
      <w:proofErr w:type="spellStart"/>
      <w:r w:rsidRPr="00FD649B">
        <w:rPr>
          <w:rFonts w:ascii="Trebuchet MS" w:hAnsi="Trebuchet MS"/>
          <w:sz w:val="22"/>
          <w:szCs w:val="22"/>
        </w:rPr>
        <w:t>conectate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FD649B">
        <w:rPr>
          <w:rFonts w:ascii="Trebuchet MS" w:hAnsi="Trebuchet MS"/>
          <w:sz w:val="22"/>
          <w:szCs w:val="22"/>
        </w:rPr>
        <w:t>necesitățile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identificate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întregul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teritoriu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Grupului</w:t>
      </w:r>
      <w:proofErr w:type="spellEnd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de </w:t>
      </w:r>
      <w:proofErr w:type="spellStart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Acțiune</w:t>
      </w:r>
      <w:proofErr w:type="spellEnd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Locală</w:t>
      </w:r>
      <w:proofErr w:type="spellEnd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Sudul</w:t>
      </w:r>
      <w:proofErr w:type="spellEnd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 xml:space="preserve"> </w:t>
      </w:r>
      <w:proofErr w:type="spellStart"/>
      <w:r w:rsidR="00F36BCA" w:rsidRPr="00FD649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bidi="ar-SA"/>
        </w:rPr>
        <w:t>Gorjului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D649B">
        <w:rPr>
          <w:rFonts w:ascii="Trebuchet MS" w:hAnsi="Trebuchet MS"/>
          <w:sz w:val="22"/>
          <w:szCs w:val="22"/>
        </w:rPr>
        <w:t>redate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în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cele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urmează</w:t>
      </w:r>
      <w:proofErr w:type="spellEnd"/>
      <w:r w:rsidRPr="00FD649B">
        <w:rPr>
          <w:rFonts w:ascii="Trebuchet MS" w:hAnsi="Trebuchet MS"/>
          <w:sz w:val="22"/>
          <w:szCs w:val="22"/>
        </w:rPr>
        <w:t>:</w:t>
      </w:r>
    </w:p>
    <w:tbl>
      <w:tblPr>
        <w:tblStyle w:val="MediumGrid1-Accent4"/>
        <w:tblW w:w="0" w:type="auto"/>
        <w:tblLook w:val="04A0"/>
      </w:tblPr>
      <w:tblGrid>
        <w:gridCol w:w="5920"/>
        <w:gridCol w:w="2207"/>
        <w:gridCol w:w="1449"/>
      </w:tblGrid>
      <w:tr w:rsidR="0033763B" w:rsidRPr="00FD649B" w:rsidTr="001563AA">
        <w:trPr>
          <w:cnfStyle w:val="100000000000"/>
        </w:trPr>
        <w:tc>
          <w:tcPr>
            <w:cnfStyle w:val="001000000000"/>
            <w:tcW w:w="5920" w:type="dxa"/>
          </w:tcPr>
          <w:p w:rsidR="0033763B" w:rsidRPr="00FD649B" w:rsidRDefault="0033763B" w:rsidP="00FD649B">
            <w:pPr>
              <w:spacing w:after="0" w:line="276" w:lineRule="auto"/>
              <w:jc w:val="right"/>
              <w:rPr>
                <w:rFonts w:ascii="Trebuchet MS" w:hAnsi="Trebuchet MS"/>
                <w:b w:val="0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Prioritatea</w:t>
            </w:r>
            <w:proofErr w:type="spellEnd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de </w:t>
            </w: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Dezvoltare</w:t>
            </w:r>
            <w:proofErr w:type="spellEnd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Rurala</w:t>
            </w:r>
            <w:proofErr w:type="spellEnd"/>
            <w:r w:rsidR="001563AA"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/ M</w:t>
            </w:r>
            <w:r w:rsidR="001563AA"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  <w:lang w:val="ro-RO"/>
              </w:rPr>
              <w:t>ă</w:t>
            </w: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sura</w:t>
            </w:r>
            <w:proofErr w:type="spellEnd"/>
          </w:p>
        </w:tc>
        <w:tc>
          <w:tcPr>
            <w:tcW w:w="2207" w:type="dxa"/>
          </w:tcPr>
          <w:p w:rsidR="0033763B" w:rsidRPr="00FD649B" w:rsidRDefault="001563AA" w:rsidP="00FD649B">
            <w:pPr>
              <w:spacing w:after="0" w:line="276" w:lineRule="auto"/>
              <w:jc w:val="right"/>
              <w:cnfStyle w:val="100000000000"/>
              <w:rPr>
                <w:rFonts w:ascii="Trebuchet MS" w:hAnsi="Trebuchet MS"/>
                <w:b w:val="0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Contribuția</w:t>
            </w:r>
            <w:proofErr w:type="spellEnd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publică</w:t>
            </w:r>
            <w:proofErr w:type="spellEnd"/>
            <w:r w:rsidR="0033763B"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="0033763B"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nerambursabil</w:t>
            </w:r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ă</w:t>
            </w:r>
            <w:proofErr w:type="spellEnd"/>
          </w:p>
        </w:tc>
        <w:tc>
          <w:tcPr>
            <w:tcW w:w="1449" w:type="dxa"/>
          </w:tcPr>
          <w:p w:rsidR="0033763B" w:rsidRPr="00FD649B" w:rsidRDefault="0033763B" w:rsidP="00FD649B">
            <w:pPr>
              <w:spacing w:after="0" w:line="276" w:lineRule="auto"/>
              <w:jc w:val="right"/>
              <w:cnfStyle w:val="100000000000"/>
              <w:rPr>
                <w:rFonts w:ascii="Trebuchet MS" w:hAnsi="Trebuchet MS"/>
                <w:b w:val="0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Valoarea</w:t>
            </w:r>
            <w:proofErr w:type="spellEnd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procentual</w:t>
            </w:r>
            <w:r w:rsidR="001563AA" w:rsidRPr="00FD649B">
              <w:rPr>
                <w:rFonts w:ascii="Trebuchet MS" w:hAnsi="Trebuchet MS"/>
                <w:color w:val="808080" w:themeColor="background1" w:themeShade="80"/>
                <w:sz w:val="22"/>
                <w:szCs w:val="22"/>
              </w:rPr>
              <w:t>ă</w:t>
            </w:r>
            <w:proofErr w:type="spellEnd"/>
          </w:p>
        </w:tc>
      </w:tr>
      <w:tr w:rsidR="00453BDE" w:rsidRPr="00FD649B" w:rsidTr="001563AA">
        <w:trPr>
          <w:cnfStyle w:val="000000100000"/>
        </w:trPr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P6: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Promovarea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incluziunii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sociale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,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reducerii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sărăciei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dezvoltării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economice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în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zonele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rurale</w:t>
            </w:r>
            <w:proofErr w:type="spellEnd"/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 xml:space="preserve">1.760.000 Euro </w:t>
            </w:r>
          </w:p>
        </w:tc>
        <w:tc>
          <w:tcPr>
            <w:tcW w:w="1449" w:type="dxa"/>
            <w:vMerge w:val="restart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>65,86%</w:t>
            </w:r>
          </w:p>
        </w:tc>
      </w:tr>
      <w:tr w:rsidR="00453BDE" w:rsidRPr="00FD649B" w:rsidTr="001563AA"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 xml:space="preserve">Măsura 3.1. </w:t>
            </w:r>
            <w:r w:rsidRPr="00FD649B"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  <w:t>„Dezvoltarea activităților non-agricole în teritoriul GAL”</w:t>
            </w: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700.000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rPr>
          <w:cnfStyle w:val="000000100000"/>
        </w:trPr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3.2.</w:t>
            </w:r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>„Servicii sociale îmbunătățite în teritoriul</w:t>
            </w:r>
            <w:r w:rsidRPr="00FD649B">
              <w:rPr>
                <w:rFonts w:ascii="Trebuchet MS" w:hAnsi="Trebuchet MS"/>
                <w:bCs w:val="0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 xml:space="preserve"> GAL</w:t>
            </w:r>
            <w:r w:rsidRPr="00FD649B">
              <w:rPr>
                <w:rFonts w:ascii="Trebuchet MS" w:hAnsi="Trebuchet MS"/>
                <w:bCs w:val="0"/>
                <w:i/>
                <w:shadow/>
                <w:color w:val="808080" w:themeColor="background1" w:themeShade="80"/>
                <w:sz w:val="22"/>
                <w:szCs w:val="22"/>
              </w:rPr>
              <w:t>”</w:t>
            </w: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40.000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3.3.</w:t>
            </w:r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>„Integrarea  minorităților locale</w:t>
            </w:r>
            <w:r w:rsidRPr="00FD649B"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  <w:t>”</w:t>
            </w: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20.000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rPr>
          <w:cnfStyle w:val="000000100000"/>
        </w:trPr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3.4.</w:t>
            </w:r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>„</w:t>
            </w:r>
            <w:proofErr w:type="spellStart"/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</w:rPr>
              <w:t>Modernizarea</w:t>
            </w:r>
            <w:proofErr w:type="spellEnd"/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 xml:space="preserve"> satelor din cadrul</w:t>
            </w:r>
            <w:r w:rsidRPr="00FD649B">
              <w:rPr>
                <w:rFonts w:ascii="Trebuchet MS" w:hAnsi="Trebuchet MS"/>
                <w:b w:val="0"/>
                <w:bCs w:val="0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 xml:space="preserve"> teritoriul GAL”</w:t>
            </w: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1.000.000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P2: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Creșterea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viabilității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fermelor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competitivității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tuturor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tipurilor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de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agricultură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în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toate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regiunile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promovarea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tehnologiilor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agricole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inovatoare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gestionării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durabile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pădurilor</w:t>
            </w:r>
            <w:proofErr w:type="spellEnd"/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>3</w:t>
            </w:r>
            <w:r w:rsidR="000C1FBC" w:rsidRPr="00FD649B">
              <w:rPr>
                <w:rFonts w:ascii="Trebuchet MS" w:hAnsi="Trebuchet MS"/>
                <w:b/>
                <w:sz w:val="22"/>
                <w:szCs w:val="22"/>
              </w:rPr>
              <w:t>68</w:t>
            </w:r>
            <w:r w:rsidRPr="00FD649B">
              <w:rPr>
                <w:rFonts w:ascii="Trebuchet MS" w:hAnsi="Trebuchet MS"/>
                <w:b/>
                <w:sz w:val="22"/>
                <w:szCs w:val="22"/>
              </w:rPr>
              <w:t>.047 Euro</w:t>
            </w:r>
          </w:p>
        </w:tc>
        <w:tc>
          <w:tcPr>
            <w:tcW w:w="1449" w:type="dxa"/>
            <w:vMerge w:val="restart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>13,</w:t>
            </w:r>
            <w:r w:rsidR="00456812" w:rsidRPr="00FD649B">
              <w:rPr>
                <w:rFonts w:ascii="Trebuchet MS" w:hAnsi="Trebuchet MS"/>
                <w:b/>
                <w:sz w:val="22"/>
                <w:szCs w:val="22"/>
              </w:rPr>
              <w:t>77</w:t>
            </w:r>
            <w:r w:rsidRPr="00FD649B">
              <w:rPr>
                <w:rFonts w:ascii="Trebuchet MS" w:hAnsi="Trebuchet MS"/>
                <w:b/>
                <w:sz w:val="22"/>
                <w:szCs w:val="22"/>
              </w:rPr>
              <w:t>%</w:t>
            </w:r>
          </w:p>
        </w:tc>
      </w:tr>
      <w:tr w:rsidR="00453BDE" w:rsidRPr="00FD649B" w:rsidTr="001563AA">
        <w:trPr>
          <w:cnfStyle w:val="000000100000"/>
        </w:trPr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2.1.</w:t>
            </w:r>
            <w:r w:rsidRPr="00FD649B">
              <w:rPr>
                <w:rFonts w:ascii="Trebuchet MS" w:hAnsi="Trebuchet MS"/>
                <w:i/>
                <w:shadow/>
                <w:color w:val="808080" w:themeColor="background1" w:themeShade="80"/>
                <w:sz w:val="22"/>
                <w:szCs w:val="22"/>
                <w:lang w:val="ro-RO"/>
              </w:rPr>
              <w:t>„Performanțe economice îmbunătățite pentru fermele din teritoriu</w:t>
            </w:r>
            <w:r w:rsidRPr="00FD649B"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  <w:t>”</w:t>
            </w:r>
          </w:p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100.000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2.2</w:t>
            </w:r>
            <w:r w:rsidR="001563AA"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.</w:t>
            </w:r>
            <w:r w:rsidRPr="00FD649B">
              <w:rPr>
                <w:rFonts w:ascii="Trebuchet MS" w:hAnsi="Trebuchet MS"/>
                <w:bCs w:val="0"/>
                <w:i/>
                <w:shadow/>
                <w:color w:val="808080"/>
                <w:sz w:val="22"/>
                <w:szCs w:val="22"/>
                <w:lang w:val="ro-RO"/>
              </w:rPr>
              <w:t>„Acces facil în domeniul agricol al unor fermieri calificați și reînnoirea generațiilor</w:t>
            </w:r>
            <w:r w:rsidRPr="00FD649B">
              <w:rPr>
                <w:rFonts w:ascii="Trebuchet MS" w:hAnsi="Trebuchet MS"/>
                <w:bCs w:val="0"/>
                <w:i/>
                <w:iCs/>
                <w:shadow/>
                <w:color w:val="808080"/>
                <w:sz w:val="22"/>
                <w:szCs w:val="22"/>
                <w:lang w:val="ro-RO"/>
              </w:rPr>
              <w:t>”</w:t>
            </w:r>
          </w:p>
        </w:tc>
        <w:tc>
          <w:tcPr>
            <w:tcW w:w="2207" w:type="dxa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2</w:t>
            </w:r>
            <w:r w:rsidR="00456812" w:rsidRPr="00FD649B">
              <w:rPr>
                <w:rFonts w:ascii="Trebuchet MS" w:hAnsi="Trebuchet MS"/>
                <w:sz w:val="22"/>
                <w:szCs w:val="22"/>
              </w:rPr>
              <w:t>68</w:t>
            </w:r>
            <w:r w:rsidRPr="00FD649B">
              <w:rPr>
                <w:rFonts w:ascii="Trebuchet MS" w:hAnsi="Trebuchet MS"/>
                <w:sz w:val="22"/>
                <w:szCs w:val="22"/>
              </w:rPr>
              <w:t>.047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3BDE" w:rsidRPr="00FD649B" w:rsidTr="001563AA">
        <w:trPr>
          <w:cnfStyle w:val="000000100000"/>
        </w:trPr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P1: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Încurajarea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transferului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de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cunoștințe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a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inovării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în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agricultură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,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silvicultură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și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zonele</w:t>
            </w:r>
            <w:proofErr w:type="spellEnd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 xml:space="preserve"> </w:t>
            </w:r>
            <w:proofErr w:type="spellStart"/>
            <w:r w:rsidRPr="00FD649B">
              <w:rPr>
                <w:rFonts w:ascii="Trebuchet MS" w:hAnsi="Trebuchet MS"/>
                <w:shadow/>
                <w:sz w:val="22"/>
                <w:szCs w:val="22"/>
              </w:rPr>
              <w:t>rurale</w:t>
            </w:r>
            <w:proofErr w:type="spellEnd"/>
          </w:p>
        </w:tc>
        <w:tc>
          <w:tcPr>
            <w:tcW w:w="2207" w:type="dxa"/>
          </w:tcPr>
          <w:p w:rsidR="00453BDE" w:rsidRPr="00FD649B" w:rsidRDefault="00F74BAF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>10</w:t>
            </w:r>
            <w:r w:rsidR="00453BDE" w:rsidRPr="00FD649B">
              <w:rPr>
                <w:rFonts w:ascii="Trebuchet MS" w:hAnsi="Trebuchet MS"/>
                <w:b/>
                <w:sz w:val="22"/>
                <w:szCs w:val="22"/>
              </w:rPr>
              <w:t>.000 Euro</w:t>
            </w:r>
          </w:p>
        </w:tc>
        <w:tc>
          <w:tcPr>
            <w:tcW w:w="1449" w:type="dxa"/>
            <w:vMerge w:val="restart"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100000"/>
              <w:rPr>
                <w:rFonts w:ascii="Trebuchet MS" w:hAnsi="Trebuchet MS"/>
                <w:b/>
                <w:sz w:val="22"/>
                <w:szCs w:val="22"/>
              </w:rPr>
            </w:pPr>
            <w:r w:rsidRPr="00FD649B">
              <w:rPr>
                <w:rFonts w:ascii="Trebuchet MS" w:hAnsi="Trebuchet MS"/>
                <w:b/>
                <w:sz w:val="22"/>
                <w:szCs w:val="22"/>
              </w:rPr>
              <w:t>0,</w:t>
            </w:r>
            <w:r w:rsidR="00F74BAF" w:rsidRPr="00FD649B">
              <w:rPr>
                <w:rFonts w:ascii="Trebuchet MS" w:hAnsi="Trebuchet MS"/>
                <w:b/>
                <w:sz w:val="22"/>
                <w:szCs w:val="22"/>
              </w:rPr>
              <w:t>37</w:t>
            </w:r>
            <w:r w:rsidRPr="00FD649B">
              <w:rPr>
                <w:rFonts w:ascii="Trebuchet MS" w:hAnsi="Trebuchet MS"/>
                <w:b/>
                <w:sz w:val="22"/>
                <w:szCs w:val="22"/>
              </w:rPr>
              <w:t>%</w:t>
            </w:r>
          </w:p>
        </w:tc>
      </w:tr>
      <w:tr w:rsidR="00453BDE" w:rsidRPr="00FD649B" w:rsidTr="001563AA">
        <w:tc>
          <w:tcPr>
            <w:cnfStyle w:val="001000000000"/>
            <w:tcW w:w="5920" w:type="dxa"/>
          </w:tcPr>
          <w:p w:rsidR="00453BDE" w:rsidRPr="00FD649B" w:rsidRDefault="00453BDE" w:rsidP="00FD649B">
            <w:pPr>
              <w:spacing w:after="0" w:line="276" w:lineRule="auto"/>
              <w:rPr>
                <w:rFonts w:ascii="Trebuchet MS" w:hAnsi="Trebuchet MS"/>
                <w:shadow/>
                <w:color w:val="808080" w:themeColor="background1" w:themeShade="80"/>
                <w:sz w:val="22"/>
                <w:szCs w:val="22"/>
                <w:lang w:val="ro-RO"/>
              </w:rPr>
            </w:pPr>
            <w:r w:rsidRPr="00FD649B">
              <w:rPr>
                <w:rFonts w:ascii="Trebuchet MS" w:hAnsi="Trebuchet MS"/>
                <w:i/>
                <w:shadow/>
                <w:sz w:val="22"/>
                <w:szCs w:val="22"/>
                <w:lang w:val="ro-RO"/>
              </w:rPr>
              <w:t>Măsura 1</w:t>
            </w:r>
            <w:r w:rsidRPr="00FD649B">
              <w:rPr>
                <w:rFonts w:ascii="Trebuchet MS" w:hAnsi="Trebuchet MS"/>
                <w:shadow/>
                <w:color w:val="808080" w:themeColor="background1" w:themeShade="80"/>
                <w:sz w:val="22"/>
                <w:szCs w:val="22"/>
                <w:lang w:val="ro-RO"/>
              </w:rPr>
              <w:t>„</w:t>
            </w:r>
            <w:r w:rsidRPr="00FD649B">
              <w:rPr>
                <w:rFonts w:ascii="Trebuchet MS" w:hAnsi="Trebuchet MS"/>
                <w:i/>
                <w:iCs/>
                <w:shadow/>
                <w:color w:val="808080" w:themeColor="background1" w:themeShade="80"/>
                <w:sz w:val="22"/>
                <w:szCs w:val="22"/>
                <w:lang w:val="ro-RO"/>
              </w:rPr>
              <w:t>Transfer de cunoștințe în domeniul agricol”</w:t>
            </w:r>
          </w:p>
        </w:tc>
        <w:tc>
          <w:tcPr>
            <w:tcW w:w="2207" w:type="dxa"/>
          </w:tcPr>
          <w:p w:rsidR="00453BDE" w:rsidRPr="00FD649B" w:rsidRDefault="00F74BAF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D649B">
              <w:rPr>
                <w:rFonts w:ascii="Trebuchet MS" w:hAnsi="Trebuchet MS"/>
                <w:sz w:val="22"/>
                <w:szCs w:val="22"/>
              </w:rPr>
              <w:t>10</w:t>
            </w:r>
            <w:r w:rsidR="00453BDE" w:rsidRPr="00FD649B">
              <w:rPr>
                <w:rFonts w:ascii="Trebuchet MS" w:hAnsi="Trebuchet MS"/>
                <w:sz w:val="22"/>
                <w:szCs w:val="22"/>
              </w:rPr>
              <w:t>.000 Euro</w:t>
            </w:r>
          </w:p>
        </w:tc>
        <w:tc>
          <w:tcPr>
            <w:tcW w:w="1449" w:type="dxa"/>
            <w:vMerge/>
          </w:tcPr>
          <w:p w:rsidR="00453BDE" w:rsidRPr="00FD649B" w:rsidRDefault="00453BDE" w:rsidP="00FD649B">
            <w:pPr>
              <w:spacing w:after="0" w:line="276" w:lineRule="auto"/>
              <w:jc w:val="right"/>
              <w:cnfStyle w:val="000000000000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67316C" w:rsidRPr="00FD649B" w:rsidRDefault="0067316C" w:rsidP="00FD649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D649B">
        <w:rPr>
          <w:rFonts w:ascii="Trebuchet MS" w:hAnsi="Trebuchet MS"/>
          <w:sz w:val="22"/>
          <w:szCs w:val="22"/>
        </w:rPr>
        <w:t>În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ceea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privește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b/>
          <w:bCs/>
          <w:sz w:val="22"/>
          <w:szCs w:val="22"/>
        </w:rPr>
        <w:t>costurile</w:t>
      </w:r>
      <w:proofErr w:type="spellEnd"/>
      <w:r w:rsidRPr="00FD649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b/>
          <w:bCs/>
          <w:sz w:val="22"/>
          <w:szCs w:val="22"/>
        </w:rPr>
        <w:t>funcționare</w:t>
      </w:r>
      <w:proofErr w:type="spellEnd"/>
      <w:r w:rsidRPr="00FD649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FD649B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b/>
          <w:bCs/>
          <w:sz w:val="22"/>
          <w:szCs w:val="22"/>
        </w:rPr>
        <w:t>animare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D649B">
        <w:rPr>
          <w:rFonts w:ascii="Trebuchet MS" w:hAnsi="Trebuchet MS"/>
          <w:sz w:val="22"/>
          <w:szCs w:val="22"/>
        </w:rPr>
        <w:t>pentru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acestea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FD649B">
        <w:rPr>
          <w:rFonts w:ascii="Trebuchet MS" w:hAnsi="Trebuchet MS"/>
          <w:sz w:val="22"/>
          <w:szCs w:val="22"/>
        </w:rPr>
        <w:t>va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aloca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FD649B">
        <w:rPr>
          <w:rFonts w:ascii="Trebuchet MS" w:hAnsi="Trebuchet MS"/>
          <w:sz w:val="22"/>
          <w:szCs w:val="22"/>
        </w:rPr>
        <w:t>procent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</w:t>
      </w:r>
      <w:r w:rsidRPr="00FD649B">
        <w:rPr>
          <w:rFonts w:ascii="Trebuchet MS" w:hAnsi="Trebuchet MS"/>
          <w:b/>
          <w:bCs/>
          <w:sz w:val="22"/>
          <w:szCs w:val="22"/>
        </w:rPr>
        <w:t xml:space="preserve"> </w:t>
      </w:r>
      <w:r w:rsidR="00456812" w:rsidRPr="00FD649B">
        <w:rPr>
          <w:rFonts w:ascii="Trebuchet MS" w:hAnsi="Trebuchet MS"/>
          <w:b/>
          <w:bCs/>
          <w:sz w:val="22"/>
          <w:szCs w:val="22"/>
        </w:rPr>
        <w:t>19</w:t>
      </w:r>
      <w:proofErr w:type="gramStart"/>
      <w:r w:rsidR="00456812" w:rsidRPr="00FD649B">
        <w:rPr>
          <w:rFonts w:ascii="Trebuchet MS" w:hAnsi="Trebuchet MS"/>
          <w:b/>
          <w:bCs/>
          <w:sz w:val="22"/>
          <w:szCs w:val="22"/>
        </w:rPr>
        <w:t>,99</w:t>
      </w:r>
      <w:proofErr w:type="gramEnd"/>
      <w:r w:rsidRPr="00FD649B">
        <w:rPr>
          <w:rFonts w:ascii="Trebuchet MS" w:hAnsi="Trebuchet MS"/>
          <w:b/>
          <w:bCs/>
          <w:sz w:val="22"/>
          <w:szCs w:val="22"/>
        </w:rPr>
        <w:t>%</w:t>
      </w:r>
      <w:r w:rsidRPr="00FD649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FD649B">
        <w:rPr>
          <w:rFonts w:ascii="Trebuchet MS" w:hAnsi="Trebuchet MS"/>
          <w:sz w:val="22"/>
          <w:szCs w:val="22"/>
        </w:rPr>
        <w:t>costurile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publice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totale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D649B">
        <w:rPr>
          <w:rFonts w:ascii="Trebuchet MS" w:hAnsi="Trebuchet MS"/>
          <w:sz w:val="22"/>
          <w:szCs w:val="22"/>
        </w:rPr>
        <w:t>reprezentând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r w:rsidR="00456812" w:rsidRPr="00FD649B">
        <w:rPr>
          <w:rFonts w:ascii="Trebuchet MS" w:hAnsi="Trebuchet MS"/>
          <w:b/>
          <w:color w:val="5F497A" w:themeColor="accent4" w:themeShade="BF"/>
          <w:sz w:val="22"/>
          <w:szCs w:val="22"/>
        </w:rPr>
        <w:t>534.174</w:t>
      </w:r>
      <w:r w:rsidRPr="00FD649B">
        <w:rPr>
          <w:rFonts w:ascii="Trebuchet MS" w:hAnsi="Trebuchet MS"/>
          <w:b/>
          <w:color w:val="5F497A" w:themeColor="accent4" w:themeShade="BF"/>
          <w:sz w:val="22"/>
          <w:szCs w:val="22"/>
        </w:rPr>
        <w:t xml:space="preserve"> de Euro</w:t>
      </w:r>
      <w:r w:rsidRPr="00FD649B">
        <w:rPr>
          <w:rFonts w:ascii="Trebuchet MS" w:hAnsi="Trebuchet MS"/>
          <w:color w:val="5F497A" w:themeColor="accent4" w:themeShade="BF"/>
          <w:sz w:val="22"/>
          <w:szCs w:val="22"/>
        </w:rPr>
        <w:t>.</w:t>
      </w:r>
    </w:p>
    <w:p w:rsidR="005A6025" w:rsidRPr="00FD649B" w:rsidRDefault="0067316C" w:rsidP="00FD649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D649B">
        <w:rPr>
          <w:rFonts w:ascii="Trebuchet MS" w:hAnsi="Trebuchet MS"/>
          <w:b/>
          <w:sz w:val="22"/>
          <w:szCs w:val="22"/>
        </w:rPr>
        <w:t>Componenta</w:t>
      </w:r>
      <w:proofErr w:type="spellEnd"/>
      <w:r w:rsidRPr="00FD649B">
        <w:rPr>
          <w:rFonts w:ascii="Trebuchet MS" w:hAnsi="Trebuchet MS"/>
          <w:b/>
          <w:sz w:val="22"/>
          <w:szCs w:val="22"/>
        </w:rPr>
        <w:t xml:space="preserve"> B</w:t>
      </w:r>
      <w:r w:rsidRPr="00FD649B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FD649B">
        <w:rPr>
          <w:rFonts w:ascii="Trebuchet MS" w:hAnsi="Trebuchet MS"/>
          <w:sz w:val="22"/>
          <w:szCs w:val="22"/>
        </w:rPr>
        <w:t>Valoarea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aferentă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nivelului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sz w:val="22"/>
          <w:szCs w:val="22"/>
        </w:rPr>
        <w:t>calitate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obținut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se </w:t>
      </w:r>
      <w:proofErr w:type="spellStart"/>
      <w:proofErr w:type="gramStart"/>
      <w:r w:rsidRPr="00FD649B">
        <w:rPr>
          <w:rFonts w:ascii="Trebuchet MS" w:hAnsi="Trebuchet MS"/>
          <w:sz w:val="22"/>
          <w:szCs w:val="22"/>
        </w:rPr>
        <w:t>va</w:t>
      </w:r>
      <w:proofErr w:type="spellEnd"/>
      <w:proofErr w:type="gram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calcula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în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urma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procesului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D649B">
        <w:rPr>
          <w:rFonts w:ascii="Trebuchet MS" w:hAnsi="Trebuchet MS"/>
          <w:sz w:val="22"/>
          <w:szCs w:val="22"/>
        </w:rPr>
        <w:t>evaluare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și</w:t>
      </w:r>
      <w:proofErr w:type="spellEnd"/>
      <w:r w:rsidRPr="00FD649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D649B">
        <w:rPr>
          <w:rFonts w:ascii="Trebuchet MS" w:hAnsi="Trebuchet MS"/>
          <w:sz w:val="22"/>
          <w:szCs w:val="22"/>
        </w:rPr>
        <w:t>selecție</w:t>
      </w:r>
      <w:proofErr w:type="spellEnd"/>
      <w:r w:rsidRPr="00FD649B">
        <w:rPr>
          <w:rFonts w:ascii="Trebuchet MS" w:hAnsi="Trebuchet MS"/>
          <w:sz w:val="22"/>
          <w:szCs w:val="22"/>
        </w:rPr>
        <w:t>.</w:t>
      </w:r>
    </w:p>
    <w:sectPr w:rsidR="005A6025" w:rsidRPr="00FD649B" w:rsidSect="00BA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425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99" w:rsidRDefault="00310899" w:rsidP="005A6025">
      <w:pPr>
        <w:spacing w:after="0" w:line="240" w:lineRule="auto"/>
      </w:pPr>
      <w:r>
        <w:separator/>
      </w:r>
    </w:p>
  </w:endnote>
  <w:endnote w:type="continuationSeparator" w:id="0">
    <w:p w:rsidR="00310899" w:rsidRDefault="00310899" w:rsidP="005A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34" w:rsidRDefault="00CE44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5A6025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5A6025" w:rsidRPr="003A314D" w:rsidRDefault="0095213E" w:rsidP="00A14438">
          <w:pPr>
            <w:pStyle w:val="Footer"/>
            <w:jc w:val="right"/>
            <w:rPr>
              <w:rFonts w:ascii="Trebuchet MS" w:hAnsi="Trebuchet MS"/>
              <w:color w:val="000000" w:themeColor="text1"/>
              <w:sz w:val="22"/>
              <w:szCs w:val="22"/>
            </w:rPr>
          </w:pPr>
          <w:proofErr w:type="spellStart"/>
          <w:r w:rsidRPr="003A314D">
            <w:rPr>
              <w:rFonts w:ascii="Trebuchet MS" w:hAnsi="Trebuchet MS"/>
              <w:b/>
              <w:shadow/>
              <w:color w:val="000000" w:themeColor="text1"/>
              <w:sz w:val="22"/>
              <w:szCs w:val="22"/>
            </w:rPr>
            <w:t>Capitolul</w:t>
          </w:r>
          <w:proofErr w:type="spellEnd"/>
          <w:r w:rsidRPr="003A314D">
            <w:rPr>
              <w:rFonts w:ascii="Trebuchet MS" w:hAnsi="Trebuchet MS"/>
              <w:b/>
              <w:shadow/>
              <w:color w:val="000000" w:themeColor="text1"/>
              <w:sz w:val="22"/>
              <w:szCs w:val="22"/>
            </w:rPr>
            <w:t xml:space="preserve"> </w:t>
          </w:r>
          <w:r w:rsidR="003150D0" w:rsidRPr="003A314D">
            <w:rPr>
              <w:rFonts w:ascii="Trebuchet MS" w:hAnsi="Trebuchet MS"/>
              <w:b/>
              <w:shadow/>
              <w:color w:val="000000" w:themeColor="text1"/>
              <w:sz w:val="22"/>
              <w:szCs w:val="22"/>
              <w:lang w:val="ro-RO"/>
            </w:rPr>
            <w:t>X</w:t>
          </w:r>
          <w:r w:rsidRPr="003A314D">
            <w:rPr>
              <w:rFonts w:ascii="Trebuchet MS" w:hAnsi="Trebuchet MS"/>
              <w:b/>
              <w:shadow/>
              <w:color w:val="000000" w:themeColor="text1"/>
              <w:sz w:val="22"/>
              <w:szCs w:val="22"/>
            </w:rPr>
            <w:t xml:space="preserve">: </w:t>
          </w:r>
          <w:r w:rsidR="00A14438">
            <w:rPr>
              <w:rFonts w:ascii="Trebuchet MS" w:hAnsi="Trebuchet MS"/>
              <w:b/>
              <w:shadow/>
              <w:color w:val="000000" w:themeColor="text1"/>
              <w:sz w:val="22"/>
              <w:szCs w:val="22"/>
              <w:lang w:val="ro-RO"/>
            </w:rPr>
            <w:t>Planul de finantare al strategiei</w:t>
          </w:r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5A6025" w:rsidRPr="003A314D" w:rsidRDefault="006D1514">
          <w:pPr>
            <w:pStyle w:val="Foot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r w:rsidRPr="003A314D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begin"/>
          </w:r>
          <w:r w:rsidR="0095213E" w:rsidRPr="003A314D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instrText>PAGE</w:instrText>
          </w:r>
          <w:r w:rsidRPr="003A314D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separate"/>
          </w:r>
          <w:r w:rsidR="00FD649B">
            <w:rPr>
              <w:rFonts w:ascii="Trebuchet MS" w:hAnsi="Trebuchet MS"/>
              <w:shadow/>
              <w:noProof/>
              <w:color w:val="FFFFFF" w:themeColor="background1"/>
              <w:sz w:val="22"/>
              <w:szCs w:val="22"/>
            </w:rPr>
            <w:t>1</w:t>
          </w:r>
          <w:r w:rsidRPr="003A314D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5A6025" w:rsidRDefault="005A602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34" w:rsidRDefault="00CE44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99" w:rsidRDefault="00310899"/>
  </w:footnote>
  <w:footnote w:type="continuationSeparator" w:id="0">
    <w:p w:rsidR="00310899" w:rsidRDefault="00310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34" w:rsidRDefault="00CE44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1" w:type="dxa"/>
      <w:tblInd w:w="108" w:type="dxa"/>
      <w:tblLook w:val="04A0"/>
    </w:tblPr>
    <w:tblGrid>
      <w:gridCol w:w="5896"/>
      <w:gridCol w:w="3595"/>
    </w:tblGrid>
    <w:tr w:rsidR="005A6025" w:rsidTr="00896CE8">
      <w:trPr>
        <w:trHeight w:val="475"/>
      </w:trPr>
      <w:tc>
        <w:tcPr>
          <w:tcW w:w="5896" w:type="dxa"/>
          <w:shd w:val="clear" w:color="auto" w:fill="8064A2" w:themeFill="accent4"/>
          <w:vAlign w:val="center"/>
        </w:tcPr>
        <w:p w:rsidR="005A6025" w:rsidRDefault="006D1514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  <w:sz w:val="22"/>
                <w:szCs w:val="22"/>
              </w:rPr>
              <w:alias w:val="Title"/>
              <w:id w:val="14689047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95213E" w:rsidRPr="00B769D7">
                <w:rPr>
                  <w:rFonts w:ascii="Trebuchet MS" w:hAnsi="Trebuchet MS"/>
                  <w:b/>
                  <w:caps/>
                  <w:shadow/>
                  <w:color w:val="FFFFFF" w:themeColor="background1"/>
                  <w:sz w:val="22"/>
                  <w:szCs w:val="22"/>
                </w:rPr>
                <w:t>Grupul de acțiune locală sudul gorjului</w:t>
              </w:r>
            </w:sdtContent>
          </w:sdt>
        </w:p>
      </w:tc>
      <w:tc>
        <w:tcPr>
          <w:tcW w:w="3595" w:type="dxa"/>
          <w:shd w:val="clear" w:color="auto" w:fill="000000" w:themeFill="text1"/>
          <w:vAlign w:val="center"/>
        </w:tcPr>
        <w:p w:rsidR="005A6025" w:rsidRPr="00B769D7" w:rsidRDefault="0095213E">
          <w:pPr>
            <w:pStyle w:val="Header"/>
            <w:jc w:val="center"/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</w:pPr>
          <w:proofErr w:type="spellStart"/>
          <w:r w:rsidRPr="00B769D7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B769D7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B769D7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B769D7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B769D7">
            <w:rPr>
              <w:rFonts w:ascii="Trebuchet MS" w:hAnsi="Trebuchet MS"/>
              <w:b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5A6025" w:rsidRDefault="005A602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34" w:rsidRDefault="00CE44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618AE"/>
    <w:multiLevelType w:val="multilevel"/>
    <w:tmpl w:val="8BC21500"/>
    <w:lvl w:ilvl="0">
      <w:start w:val="1"/>
      <w:numFmt w:val="bullet"/>
      <w:lvlText w:val=""/>
      <w:lvlJc w:val="left"/>
      <w:pPr>
        <w:ind w:left="720" w:hanging="360"/>
      </w:pPr>
      <w:rPr>
        <w:rFonts w:ascii="Wingdings 2" w:hAnsi="Wingdings 2" w:cs="Wingdings 2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D90453"/>
    <w:multiLevelType w:val="multilevel"/>
    <w:tmpl w:val="B0B48EB4"/>
    <w:lvl w:ilvl="0">
      <w:start w:val="1"/>
      <w:numFmt w:val="bullet"/>
      <w:lvlText w:val="•"/>
      <w:lvlJc w:val="left"/>
      <w:pPr>
        <w:ind w:left="720" w:hanging="360"/>
      </w:pPr>
      <w:rPr>
        <w:rFonts w:ascii="Symbol" w:hAnsi="Symbol" w:cs="Symbol"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A6025"/>
    <w:rsid w:val="0002623A"/>
    <w:rsid w:val="00026D8E"/>
    <w:rsid w:val="000C1FBC"/>
    <w:rsid w:val="000E07DB"/>
    <w:rsid w:val="000E4570"/>
    <w:rsid w:val="0011779C"/>
    <w:rsid w:val="00127564"/>
    <w:rsid w:val="00151B9D"/>
    <w:rsid w:val="001563AA"/>
    <w:rsid w:val="001F4F18"/>
    <w:rsid w:val="00250959"/>
    <w:rsid w:val="002E40C3"/>
    <w:rsid w:val="00310899"/>
    <w:rsid w:val="003150D0"/>
    <w:rsid w:val="0033763B"/>
    <w:rsid w:val="00351567"/>
    <w:rsid w:val="00353254"/>
    <w:rsid w:val="0037612F"/>
    <w:rsid w:val="00380258"/>
    <w:rsid w:val="003811BD"/>
    <w:rsid w:val="003A2BB9"/>
    <w:rsid w:val="003A314D"/>
    <w:rsid w:val="00411BA5"/>
    <w:rsid w:val="00431077"/>
    <w:rsid w:val="00435F40"/>
    <w:rsid w:val="00441865"/>
    <w:rsid w:val="00453BDE"/>
    <w:rsid w:val="00456812"/>
    <w:rsid w:val="004A6C41"/>
    <w:rsid w:val="004D0334"/>
    <w:rsid w:val="004E0636"/>
    <w:rsid w:val="004F275F"/>
    <w:rsid w:val="005007E9"/>
    <w:rsid w:val="00577EDF"/>
    <w:rsid w:val="00585858"/>
    <w:rsid w:val="00593A04"/>
    <w:rsid w:val="005A6025"/>
    <w:rsid w:val="005C51AB"/>
    <w:rsid w:val="005E3BF7"/>
    <w:rsid w:val="005F48CE"/>
    <w:rsid w:val="00641CC3"/>
    <w:rsid w:val="006455AE"/>
    <w:rsid w:val="0067316C"/>
    <w:rsid w:val="00697275"/>
    <w:rsid w:val="006A6B6F"/>
    <w:rsid w:val="006B0CB3"/>
    <w:rsid w:val="006D1514"/>
    <w:rsid w:val="0072416C"/>
    <w:rsid w:val="007566E8"/>
    <w:rsid w:val="007A3F26"/>
    <w:rsid w:val="007D0EB8"/>
    <w:rsid w:val="00810C0B"/>
    <w:rsid w:val="00816571"/>
    <w:rsid w:val="00832813"/>
    <w:rsid w:val="00896CE8"/>
    <w:rsid w:val="008A6113"/>
    <w:rsid w:val="008B219F"/>
    <w:rsid w:val="008E7996"/>
    <w:rsid w:val="00942FAC"/>
    <w:rsid w:val="0095213E"/>
    <w:rsid w:val="0098063F"/>
    <w:rsid w:val="009D290D"/>
    <w:rsid w:val="00A14438"/>
    <w:rsid w:val="00A2656B"/>
    <w:rsid w:val="00A6175C"/>
    <w:rsid w:val="00A8362E"/>
    <w:rsid w:val="00A8422A"/>
    <w:rsid w:val="00AC0297"/>
    <w:rsid w:val="00AE21F8"/>
    <w:rsid w:val="00AF79DB"/>
    <w:rsid w:val="00B12604"/>
    <w:rsid w:val="00B2034E"/>
    <w:rsid w:val="00B46718"/>
    <w:rsid w:val="00B769D7"/>
    <w:rsid w:val="00B90B6B"/>
    <w:rsid w:val="00BA4F37"/>
    <w:rsid w:val="00BB5B53"/>
    <w:rsid w:val="00C1260B"/>
    <w:rsid w:val="00C473EA"/>
    <w:rsid w:val="00C6265E"/>
    <w:rsid w:val="00CE4434"/>
    <w:rsid w:val="00D409FA"/>
    <w:rsid w:val="00DA1A46"/>
    <w:rsid w:val="00DF6B0C"/>
    <w:rsid w:val="00E105F3"/>
    <w:rsid w:val="00E12639"/>
    <w:rsid w:val="00E3008A"/>
    <w:rsid w:val="00E36776"/>
    <w:rsid w:val="00E4458C"/>
    <w:rsid w:val="00E66D2F"/>
    <w:rsid w:val="00E80E36"/>
    <w:rsid w:val="00E92CCC"/>
    <w:rsid w:val="00E97E4E"/>
    <w:rsid w:val="00EB5307"/>
    <w:rsid w:val="00EF2403"/>
    <w:rsid w:val="00F054C2"/>
    <w:rsid w:val="00F160E0"/>
    <w:rsid w:val="00F17B97"/>
    <w:rsid w:val="00F368BE"/>
    <w:rsid w:val="00F36BCA"/>
    <w:rsid w:val="00F5670D"/>
    <w:rsid w:val="00F74BAF"/>
    <w:rsid w:val="00F76AF5"/>
    <w:rsid w:val="00F773CC"/>
    <w:rsid w:val="00F8613F"/>
    <w:rsid w:val="00F9614E"/>
    <w:rsid w:val="00FA7046"/>
    <w:rsid w:val="00FA751E"/>
    <w:rsid w:val="00FD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5A6025"/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4">
    <w:name w:val="Medium Shading 2 Accent 4"/>
    <w:basedOn w:val="TableNormal"/>
    <w:uiPriority w:val="64"/>
    <w:rsid w:val="00F160E0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810C0B"/>
    <w:pPr>
      <w:spacing w:line="240" w:lineRule="auto"/>
      <w:jc w:val="left"/>
    </w:pPr>
    <w:rPr>
      <w:rFonts w:ascii="Liberation Serif" w:eastAsia="SimSun" w:hAnsi="Liberation Serif" w:cs="Mangal"/>
      <w:szCs w:val="24"/>
      <w:lang w:val="ro-RO" w:eastAsia="zh-CN" w:bidi="hi-IN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A314D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3A314D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Grid1-Accent4">
    <w:name w:val="Medium Grid 1 Accent 4"/>
    <w:basedOn w:val="TableNormal"/>
    <w:uiPriority w:val="67"/>
    <w:rsid w:val="003A314D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List-Accent4">
    <w:name w:val="Light List Accent 4"/>
    <w:basedOn w:val="TableNormal"/>
    <w:uiPriority w:val="61"/>
    <w:rsid w:val="003A314D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B8EE5-257C-4B7D-8720-453B641F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33</cp:revision>
  <cp:lastPrinted>2016-04-26T16:08:00Z</cp:lastPrinted>
  <dcterms:created xsi:type="dcterms:W3CDTF">2016-04-25T21:08:00Z</dcterms:created>
  <dcterms:modified xsi:type="dcterms:W3CDTF">2016-04-26T16:09:00Z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