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C557" w14:textId="77777777" w:rsidR="001C4E4F" w:rsidRPr="00F028F8" w:rsidRDefault="000B35E9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I</w:t>
      </w:r>
      <w:r w:rsidR="008D0D81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II</w:t>
      </w:r>
      <w:r w:rsidR="00CF696C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8D0D81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ANALIZA SWOT (ANALIZA PUNCTELOR TARI, PUNCTELOR SLABE, OPORTUNITĂȚILOR ȘI AMENINȚĂRILOR)</w:t>
      </w:r>
    </w:p>
    <w:p w14:paraId="53255845" w14:textId="77777777" w:rsidR="00070100" w:rsidRPr="00F028F8" w:rsidRDefault="00070100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</w:p>
    <w:tbl>
      <w:tblPr>
        <w:tblStyle w:val="LightList-Accent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1C4E4F" w:rsidRPr="00F028F8" w14:paraId="68D79D7D" w14:textId="77777777" w:rsidTr="00A83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5AB83BB6" w14:textId="77777777" w:rsidR="001C4E4F" w:rsidRPr="0001111E" w:rsidRDefault="001C4E4F" w:rsidP="00F028F8">
            <w:pPr>
              <w:spacing w:after="0" w:line="276" w:lineRule="auto"/>
              <w:rPr>
                <w:rFonts w:ascii="Trebuchet MS" w:eastAsia="Cambria" w:hAnsi="Trebuchet MS" w:cs="Trebuchet MS"/>
                <w:b w:val="0"/>
                <w:bCs w:val="0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8F8">
              <w:rPr>
                <w:rFonts w:ascii="Trebuchet MS" w:eastAsia="Trebuchet MS" w:hAnsi="Trebuchet MS" w:cs="Trebuchet MS"/>
                <w:color w:val="FFFFFF" w:themeColor="background1"/>
                <w:sz w:val="22"/>
                <w:szCs w:val="22"/>
              </w:rPr>
              <w:t xml:space="preserve"> </w:t>
            </w: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TERITORIU</w:t>
            </w:r>
          </w:p>
        </w:tc>
      </w:tr>
      <w:tr w:rsidR="001C4E4F" w:rsidRPr="00F028F8" w14:paraId="19D635BA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2C1C596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14:paraId="4EC5EB06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14:paraId="02930A22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9D7CD4D" w14:textId="77777777"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țeaua de drumuri județene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orășenești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comunale asigură accesul spre toate localitățile GAL;</w:t>
            </w:r>
          </w:p>
          <w:p w14:paraId="76EBEDAB" w14:textId="77777777" w:rsidR="002B0F60" w:rsidRPr="00F028F8" w:rsidRDefault="002B0F60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Pondere ridicată a pădurilor în suprafața totală a fondului funciar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ce coboară până aproape de vatra localităților – zone naturale cu potențial de agrement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5409AC23" w14:textId="77777777"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Clima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blândă, temperat continentală, cu o bună circulație a aerului, favorabilă agriculturii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14:paraId="121D8DAA" w14:textId="77777777"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Prezența a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68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de monumente istorice,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9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arheologice și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13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Natura 2000 pe teritoriul GAL; </w:t>
            </w:r>
          </w:p>
          <w:p w14:paraId="12D06929" w14:textId="77777777" w:rsidR="001C4E4F" w:rsidRPr="00F028F8" w:rsidRDefault="00ED1802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Prezen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ța celei mai mari termocentrale din țără în cadrul teritoriului (amplasată în orașul Turceni)</w:t>
            </w:r>
            <w:r w:rsidR="008A1AA0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și a Complexului Energetic Rovinari</w:t>
            </w:r>
            <w:r w:rsidR="003F5336"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14:paraId="605EF86C" w14:textId="77777777" w:rsidR="001C4E4F" w:rsidRPr="00F028F8" w:rsidRDefault="00A832CA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odernizare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redusă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rețelei de transport public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;</w:t>
            </w:r>
          </w:p>
          <w:p w14:paraId="366D3FB8" w14:textId="77777777" w:rsidR="005F6C77" w:rsidRPr="00F028F8" w:rsidRDefault="005F6C77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Parametrii tehnici ai infrastructurii rutiere generează îngreunarea traficului, scăderea gradului de accesibilitate către teritoriu și favorizează producerea de accidente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183252AF" w14:textId="77777777" w:rsidR="001C4E4F" w:rsidRPr="00F028F8" w:rsidRDefault="001C4E4F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țeaua de alimentare cu apă și rețeaua de canalizare sunt insuficient dezvoltate raportat la necesitățile din teritoriu;</w:t>
            </w:r>
          </w:p>
          <w:p w14:paraId="5D9AB912" w14:textId="77777777" w:rsidR="001C4E4F" w:rsidRPr="00F028F8" w:rsidRDefault="002B0F60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intensivă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pădurilor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private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stat,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constituie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amenințare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adresa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biodiversității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13BADBE8" w14:textId="77777777" w:rsidR="00E9320C" w:rsidRPr="00F028F8" w:rsidRDefault="00E9320C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unor zone afectate de alunecări de teren</w:t>
            </w:r>
            <w:r w:rsidR="003F5336"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.</w:t>
            </w:r>
          </w:p>
        </w:tc>
      </w:tr>
      <w:tr w:rsidR="001C4E4F" w:rsidRPr="00F028F8" w14:paraId="7EA41D83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DF86C54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14:paraId="1E60B247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14:paraId="370C1CBF" w14:textId="77777777" w:rsidTr="00E9320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90D34FB" w14:textId="77777777" w:rsidR="00B8760F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unor programe de finanțare pentru dezvoltarea și reabilitarea infrastructurii</w:t>
            </w:r>
            <w:r w:rsidR="001C4E4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14:paraId="0AB66DE8" w14:textId="77777777" w:rsidR="00E9320C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de resurse de agregate minerale ce pot fi utilizate la executarea lucrărilor de infrastructură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13A32657" w14:textId="77777777"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unor activități eco-turistice și a turismului ecologic în zonele protejate și în împrejurimi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75028EE6" w14:textId="77777777"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Organizarea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ac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țiuni de ecologizare pe raza ariilor portejate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cu scopul de a crește gradul de conștientizare a necesității protejării mediului natural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7E310FB4" w14:textId="77777777" w:rsidR="00B8760F" w:rsidRPr="00F028F8" w:rsidRDefault="001C4E4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durabilă a zonei bazată pe diversificarea și identificarea unor soluții optime de valorificare a terenurilor agricole</w:t>
            </w:r>
            <w:r w:rsidR="0025406A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B3459DD" w14:textId="77777777" w:rsidR="002C2AE2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ăzută a autorităților publice locale de a menține infrastructura </w:t>
            </w:r>
            <w:r w:rsidR="002C2AE2" w:rsidRPr="00F028F8">
              <w:rPr>
                <w:rFonts w:ascii="Trebuchet MS" w:hAnsi="Trebuchet MS" w:cs="Trebuchet MS"/>
                <w:sz w:val="22"/>
                <w:szCs w:val="22"/>
              </w:rPr>
              <w:t xml:space="preserve">de bază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condiții optime;</w:t>
            </w:r>
          </w:p>
          <w:p w14:paraId="6268354C" w14:textId="77777777" w:rsidR="002C2AE2" w:rsidRPr="00F028F8" w:rsidRDefault="002C2AE2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Volumul scăzut și/sau accesarea redusă a surselor de finanțare ce determină realizarea parțială a lucrărilor de întreținere și reparații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52D17F6C" w14:textId="77777777" w:rsidR="00E9320C" w:rsidRPr="00F028F8" w:rsidRDefault="00E9320C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accentuată a nivelului de competitivitate a serviciilor publice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4A1231C5" w14:textId="77777777" w:rsidR="001C4E4F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Lipsa intervenției la obiectivele de patrimoniu cultural aflate într-o continuă stare de degradare.</w:t>
            </w:r>
          </w:p>
        </w:tc>
      </w:tr>
      <w:tr w:rsidR="001C4E4F" w:rsidRPr="00F028F8" w14:paraId="2D47BF62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14:paraId="66B79E7B" w14:textId="77777777"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AGRICULTURĂ</w:t>
            </w:r>
          </w:p>
        </w:tc>
      </w:tr>
      <w:tr w:rsidR="001C4E4F" w:rsidRPr="00F028F8" w14:paraId="3F70D1D7" w14:textId="77777777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485DF41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14:paraId="0ED2937D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14:paraId="34A6CF0F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62EFE1E" w14:textId="77777777"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ondiții pedo-climatice favorabile obținerii  de producții agricole diversificate calitativ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lastRenderedPageBreak/>
              <w:t xml:space="preserve">și cantitativ; </w:t>
            </w:r>
          </w:p>
          <w:p w14:paraId="33D7BD02" w14:textId="77777777"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Suprafa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agricolă ridicată cu o pondere importantă a terenului arabil;</w:t>
            </w:r>
          </w:p>
          <w:p w14:paraId="767AD615" w14:textId="77777777"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ținerea cu proponderență a terenurilor în proprietate privată;</w:t>
            </w:r>
          </w:p>
          <w:p w14:paraId="6173D418" w14:textId="77777777"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ridicat al culturilor de cereale, porumb, floarea soarelui, mazăre, fasole, plante medicinale;</w:t>
            </w:r>
          </w:p>
          <w:p w14:paraId="339C8F49" w14:textId="77777777"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Zonă cu potențial ridicat pentru zootehnie;</w:t>
            </w:r>
          </w:p>
          <w:p w14:paraId="1831B2F2" w14:textId="77777777" w:rsidR="001C4E4F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Procent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mare al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popula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ție</w:t>
            </w:r>
            <w:r w:rsidR="00D9289C"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i</w:t>
            </w:r>
            <w:proofErr w:type="spellEnd"/>
            <w:r w:rsidR="00D9289C"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 xml:space="preserve"> active ocupată în agricultură.</w:t>
            </w:r>
          </w:p>
          <w:p w14:paraId="45AAB612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Style w:val="FootnoteAnchor"/>
                <w:rFonts w:ascii="Trebuchet MS" w:hAnsi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117A74E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>Practicarea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scar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extins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 a agriculturii de subzistență, lipsa inițiativelor de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>asociere și fragmentarea excesivă a terenurilor, ce împiedică în prezent valorificarea optimă a potențialului agricol;</w:t>
            </w:r>
          </w:p>
          <w:p w14:paraId="437A4236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cov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ârșitoare a exploatațiilor agricole fără personalitate juridică;</w:t>
            </w:r>
          </w:p>
          <w:p w14:paraId="444AFA84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radul ridicat de îmbătrânire a persoanelor care lucrează în agricultură;</w:t>
            </w:r>
          </w:p>
          <w:p w14:paraId="0B797F2F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regătire profesională scăzută a administratorilor de ferme, majoritatea bazându-se doar pe experiența practică nesusținută și de cunoștințe dobândite în urma unor cursuri în domeniu;</w:t>
            </w:r>
          </w:p>
          <w:p w14:paraId="4F10F0C3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Nivel scăzut de cunoștințe adecvate de management, utilizarea a tehnologiilor moderne, inovative și a practicilor de protecție a mediului în rândul fermierilor;</w:t>
            </w:r>
          </w:p>
          <w:p w14:paraId="57F135A4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Dotare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a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tehnologic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sub valorile optime a exploatațiilor agricole;</w:t>
            </w:r>
          </w:p>
          <w:p w14:paraId="5BA3B562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Gradul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uzur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 a parcului de mașini și echipamente agricole;</w:t>
            </w:r>
          </w:p>
          <w:p w14:paraId="32726484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Procent redus de utilaje agricole deținute în proprietate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 c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ătre fermieri;</w:t>
            </w:r>
          </w:p>
          <w:p w14:paraId="6986F5B7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ivel redus de adaptabilitate a fermierilor la noile tehnologii moderne, inovatoare;</w:t>
            </w:r>
          </w:p>
          <w:p w14:paraId="798D5E8B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Lipsa culturii antreprenoriale în rândul proprietarilor de ferme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subzistență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3F70FE5F" w14:textId="77777777"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culturii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asociative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vederea creșterii sectorului agricol;</w:t>
            </w:r>
          </w:p>
          <w:p w14:paraId="6CDB505C" w14:textId="77777777" w:rsidR="001C4E4F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unui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sistem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informare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constant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 a fermierilor din teritoriul GAL</w:t>
            </w:r>
            <w:r w:rsidR="00D9289C" w:rsidRPr="00F028F8"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</w:tc>
      </w:tr>
      <w:tr w:rsidR="001C4E4F" w:rsidRPr="00F028F8" w14:paraId="21D92312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E62532E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OPORTUNITĂȚI</w:t>
            </w:r>
          </w:p>
        </w:tc>
        <w:tc>
          <w:tcPr>
            <w:tcW w:w="4678" w:type="dxa"/>
          </w:tcPr>
          <w:p w14:paraId="1D1DF8A9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14:paraId="1BBB2145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2231B72" w14:textId="77777777"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V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alorificarea forței de muncă active prin asigurarea unui proces continuu de informare și dezvoltare profesională;</w:t>
            </w:r>
          </w:p>
          <w:p w14:paraId="37E096D7" w14:textId="77777777"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finanțare existente pentru dezvoltarea spațiului rural;</w:t>
            </w:r>
          </w:p>
          <w:p w14:paraId="3E079950" w14:textId="77777777"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Modernizarea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agriculturii în vederea determinării tinerilor să rămână sau să se întoarcă în teritoriul GAL;</w:t>
            </w:r>
          </w:p>
          <w:p w14:paraId="4491586C" w14:textId="77777777"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Adoptarea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unor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practici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agricole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îmbunătățite;</w:t>
            </w:r>
          </w:p>
          <w:p w14:paraId="16F9F038" w14:textId="77777777"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lastRenderedPageBreak/>
              <w:t>Replicarea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modelelor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succes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 la nivel local, național sau european în domeniul agriculturii;</w:t>
            </w:r>
          </w:p>
          <w:p w14:paraId="0D8144AD" w14:textId="77777777" w:rsidR="001C4E4F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energiei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regenerabile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contribuind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protejarea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mediului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și reducerea costurilor</w:t>
            </w:r>
            <w:r w:rsidR="00C10B44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3345A65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forței de muncă ocupate în agricultură;</w:t>
            </w:r>
          </w:p>
          <w:p w14:paraId="7A7C9B58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 Infrastructura agricolă din teritoriul GAL nu oferă tinerilor posibilități de dezvoltare, ceea ce contribuie la migrarea acestora spre alte zone mai dezvoltate;</w:t>
            </w:r>
          </w:p>
          <w:p w14:paraId="19608A30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Întârzierea depunerii de proiecte de către potențialii beneficiari identificați în cadrul Strategiei de Dezvoltare Locală a GAL;</w:t>
            </w:r>
          </w:p>
          <w:p w14:paraId="27A219CC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Men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ținerea agriculturii în sfera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subzistenței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(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ții mici și foarte mici), caracterizată prin productivitate scăzută și forță de muncă îmbătrânită și necalificată, ce va limita valorificarea potențialului agricol al teritoriului;</w:t>
            </w:r>
          </w:p>
          <w:p w14:paraId="10C47018" w14:textId="77777777" w:rsidR="001C4E4F" w:rsidRPr="00F028F8" w:rsidRDefault="00D9289C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Creșterea ponderii terenurilor necultivate ce va afecta poductivitatea generală a terenurilor și mediul înconjurător;</w:t>
            </w:r>
          </w:p>
          <w:p w14:paraId="5B0CF90C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Creșterea dependenței de produsele agricole din afara teritoriului. </w:t>
            </w:r>
          </w:p>
        </w:tc>
      </w:tr>
      <w:tr w:rsidR="001C4E4F" w:rsidRPr="00F028F8" w14:paraId="6D26100F" w14:textId="77777777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14:paraId="74F81AB9" w14:textId="77777777"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Trebuchet MS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</w:t>
            </w: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POPULAȚIE</w:t>
            </w:r>
          </w:p>
        </w:tc>
      </w:tr>
      <w:tr w:rsidR="001C4E4F" w:rsidRPr="00F028F8" w14:paraId="2622764C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842FC2B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14:paraId="6CD0ED09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14:paraId="5829F353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320F730" w14:textId="77777777" w:rsidR="00ED1802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Distribu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echilibrată a populației pe sexe;</w:t>
            </w:r>
          </w:p>
          <w:p w14:paraId="72B79B0A" w14:textId="77777777"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pregătire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profesională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inovare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08C3CE17" w14:textId="77777777" w:rsidR="006768D9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 a populației din categoria de vârstă 20-59 ani;</w:t>
            </w:r>
            <w:r w:rsidR="006768D9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</w:p>
          <w:p w14:paraId="5AC5FAC8" w14:textId="77777777" w:rsidR="006768D9" w:rsidRPr="00F028F8" w:rsidRDefault="006768D9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Forță de muncă disponibilă</w:t>
            </w:r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14:paraId="7832ADDC" w14:textId="77777777"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perspectiva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forței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muncă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specializată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activități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producție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construcții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conexe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14:paraId="4B44BDA4" w14:textId="77777777" w:rsidR="001C4E4F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S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oldul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pozitiv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schimb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ărilor de domiciliu.</w:t>
            </w:r>
          </w:p>
        </w:tc>
        <w:tc>
          <w:tcPr>
            <w:tcW w:w="4678" w:type="dxa"/>
          </w:tcPr>
          <w:p w14:paraId="272C2C00" w14:textId="77777777" w:rsidR="00C91924" w:rsidRPr="00F028F8" w:rsidRDefault="00C91924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Tendința de îmbătrânire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64A0B34C" w14:textId="77777777" w:rsidR="006768D9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Sporul natural negativ al populației, datorat îmbătrânirii accelerate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14:paraId="040B4667" w14:textId="77777777" w:rsidR="00B40A26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Grad mare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de îmbătrânire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a populației care activează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în agricultură;</w:t>
            </w:r>
          </w:p>
          <w:p w14:paraId="3F987E16" w14:textId="77777777" w:rsidR="001C4E4F" w:rsidRPr="00F028F8" w:rsidRDefault="00D9289C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auto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auto"/>
                <w:sz w:val="22"/>
                <w:szCs w:val="22"/>
              </w:rPr>
              <w:t>Prezența minorității rome în localitățile teritoriului ce se confruntă cu diverse probleme de incluziune socială.</w:t>
            </w:r>
          </w:p>
        </w:tc>
      </w:tr>
      <w:tr w:rsidR="001C4E4F" w:rsidRPr="00F028F8" w14:paraId="759B9309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C688F1E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14:paraId="3247552E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14:paraId="0414AB02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C64AB7D" w14:textId="77777777"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interesului tinerilor față de sectorul agricol;</w:t>
            </w:r>
          </w:p>
          <w:p w14:paraId="6D13D7EA" w14:textId="77777777"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Diversificarea economiei locale poate duce la creșterea populației stabile la nivelul teritoriului;</w:t>
            </w:r>
          </w:p>
          <w:p w14:paraId="2D4F0F70" w14:textId="77777777"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teritoriu;</w:t>
            </w:r>
          </w:p>
          <w:p w14:paraId="4D101706" w14:textId="77777777" w:rsidR="001C4E4F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incluziunii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sociale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tuturor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membrilor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comunit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locale, în special a reprezentanților minorității rome;</w:t>
            </w:r>
          </w:p>
        </w:tc>
        <w:tc>
          <w:tcPr>
            <w:tcW w:w="4678" w:type="dxa"/>
          </w:tcPr>
          <w:p w14:paraId="7D502B20" w14:textId="77777777"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Accentuarea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fenomenului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 a populației tinere;</w:t>
            </w:r>
          </w:p>
          <w:p w14:paraId="079364B0" w14:textId="77777777"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popula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ției către centrele urbane;</w:t>
            </w:r>
          </w:p>
          <w:p w14:paraId="3C8A635E" w14:textId="77777777" w:rsidR="001C4E4F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Nivel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 de trai.</w:t>
            </w:r>
          </w:p>
          <w:p w14:paraId="2412E62A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4E4F" w:rsidRPr="00F028F8" w14:paraId="6940F44F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14:paraId="27F125B9" w14:textId="77777777"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ECONOMIA LOCALĂ</w:t>
            </w:r>
          </w:p>
        </w:tc>
      </w:tr>
      <w:tr w:rsidR="001C4E4F" w:rsidRPr="00F028F8" w14:paraId="60E5E554" w14:textId="77777777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BE96D30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14:paraId="450EB942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14:paraId="64DB856B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E9BA4E0" w14:textId="77777777" w:rsidR="00B3282E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eprezentare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bună a servicii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lor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industri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prelucrătoare (ca număr de întreprinderi existente);</w:t>
            </w:r>
          </w:p>
          <w:p w14:paraId="64110BA6" w14:textId="77777777"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T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eritoriul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ține o tradiție în practicarea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lastRenderedPageBreak/>
              <w:t>agriculturii, susținută de un sol propice activităților de profil;</w:t>
            </w:r>
          </w:p>
          <w:p w14:paraId="7CF8DD41" w14:textId="77777777"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R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eparti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ție teritorială omogenă a obiectivelor cu potențial turistic;</w:t>
            </w:r>
          </w:p>
          <w:p w14:paraId="724D13C7" w14:textId="77777777" w:rsidR="001C4E4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Existența unor monumente istorice cu însemnătate pentru teritoritoriu și potențial de exploatare în vederea dezvoltării serviciilor turistice;</w:t>
            </w:r>
          </w:p>
          <w:p w14:paraId="11FC9B3A" w14:textId="77777777" w:rsidR="003F5336" w:rsidRPr="00F028F8" w:rsidRDefault="003F5336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Există tradiția organizării unor târguri locale ce pot deveni evenimente de atracție pentru turiști</w:t>
            </w:r>
            <w:r w:rsidR="00F028F8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14:paraId="22DBC322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slab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 a activităților non-agricole;</w:t>
            </w:r>
          </w:p>
          <w:p w14:paraId="63D9B8A1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Slaba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întreprinderilor mici și mijlocii;</w:t>
            </w:r>
          </w:p>
          <w:p w14:paraId="328CEB0E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Predominan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microîntreprinderilor și a întreprinderilor mici;</w:t>
            </w:r>
          </w:p>
          <w:p w14:paraId="63224782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a întreprinderilor de a genera locuri de muncă pentru populația din teritoriu;</w:t>
            </w:r>
          </w:p>
          <w:p w14:paraId="351E34BF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 Nivel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instruire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și participare scăzută la programe de formare profesională pentru dobândirea de noi competențe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for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ței de muncă locale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; </w:t>
            </w:r>
          </w:p>
          <w:p w14:paraId="62DA5A27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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Infrastructură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turistică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deficitară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6DC1710B" w14:textId="77777777" w:rsidR="00A832CA" w:rsidRPr="00F028F8" w:rsidRDefault="00A832CA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Slaba dezvoltare și promovare a atracțiilor turistice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311A9BE6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O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biective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culturale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aflate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î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n stare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de degradare.</w:t>
            </w:r>
          </w:p>
        </w:tc>
      </w:tr>
      <w:tr w:rsidR="001C4E4F" w:rsidRPr="00F028F8" w14:paraId="2FB47C94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49A42EB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OPORTUNITĂȚI</w:t>
            </w:r>
          </w:p>
        </w:tc>
        <w:tc>
          <w:tcPr>
            <w:tcW w:w="4678" w:type="dxa"/>
          </w:tcPr>
          <w:p w14:paraId="3D062489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14:paraId="656FA42F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A1C0751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întreprinderilor mici și mijlocii ca sursă importantă de locuri de muncă și venituri din activități non-agricole;</w:t>
            </w:r>
          </w:p>
          <w:p w14:paraId="60518830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Realizarea de investiții în infrastructura și serviciile de bază ce vor contribui la creșterea atractivității teritoriului;</w:t>
            </w:r>
          </w:p>
          <w:p w14:paraId="32E28A81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țări nerambursabile în vederea dezvoltării și/sau modernizării activităților economice desfășurate la nivelul teritoriului;</w:t>
            </w:r>
          </w:p>
          <w:p w14:paraId="37E85460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accesului populației la programe de formare profesională, ce vor conduce la dobândire și/sau îmbogățirea cunoștințelor specifice și la dezvoltarea abilităților antreprenoriale;</w:t>
            </w:r>
          </w:p>
          <w:p w14:paraId="66F9B4B9" w14:textId="77777777" w:rsidR="00B3282E" w:rsidRPr="00F028F8" w:rsidRDefault="00B3282E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Interesul crescut față de turismul rural, atât pentu investitori, cât și pentru potențialii consumatori;</w:t>
            </w:r>
          </w:p>
          <w:p w14:paraId="149712D9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Utilizarea potențialului TIC în dezvoltarea activităților derulate de către întreprinderile existente și nou înființate de la nivelul teritoriului;</w:t>
            </w:r>
          </w:p>
          <w:p w14:paraId="02BAC90E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ării, a cooperării și a creșterii economice la nivel local prin intermediul parteneriatului</w:t>
            </w:r>
            <w:r w:rsidRPr="00F028F8">
              <w:rPr>
                <w:rFonts w:ascii="Trebuchet MS" w:eastAsia="Cambria" w:hAnsi="Trebuchet MS" w:cs="Arial"/>
                <w:b w:val="0"/>
                <w:i/>
                <w:iCs/>
                <w:color w:val="auto"/>
                <w:sz w:val="22"/>
                <w:szCs w:val="22"/>
              </w:rPr>
              <w:t>;</w:t>
            </w:r>
          </w:p>
          <w:p w14:paraId="52BFD6BB" w14:textId="77777777"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Păstrarea și promovarea identității locale;</w:t>
            </w:r>
          </w:p>
          <w:p w14:paraId="249DAA11" w14:textId="77777777" w:rsidR="001C4E4F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Punerea în valoare a obiectivelor de interes turistic și a tradițiilor etnografice prin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lastRenderedPageBreak/>
              <w:t>includerea lor în circuite turistice la nivel județean și regional</w:t>
            </w:r>
            <w:r w:rsidR="003F5336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F920865" w14:textId="77777777"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lastRenderedPageBreak/>
              <w:t>Concurența, în cadrul domeniilor economice prioritare, din partea localităților vecine</w:t>
            </w: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;</w:t>
            </w:r>
          </w:p>
          <w:p w14:paraId="3058E9B4" w14:textId="77777777"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Tendin</w:t>
            </w:r>
            <w:proofErr w:type="spellEnd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t xml:space="preserve">ța de accentuare a disparităților de dezvoltare; </w:t>
            </w:r>
          </w:p>
          <w:p w14:paraId="5E0A5E27" w14:textId="77777777"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Întârzieri în realizarea investițiilor de modernizare a infrastructurii și serviciilor de bază în localitățile din teritoriu;</w:t>
            </w:r>
          </w:p>
          <w:p w14:paraId="4ECAEE1C" w14:textId="77777777"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ăzută de asigurare a cofinanțării proiectelor de către potențialii beneficiari de finanțări nerambursabile;</w:t>
            </w:r>
          </w:p>
          <w:p w14:paraId="5A1D903F" w14:textId="77777777"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Alterarea și pierderea moștenirii culturale locale și a tradițiilor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specifice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;</w:t>
            </w:r>
          </w:p>
          <w:p w14:paraId="3B33A631" w14:textId="77777777" w:rsidR="001C4E4F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Capacitate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 de accesare a finanțărilor nerambursabile datorată lipsei cunoștințelor în domeniu;</w:t>
            </w:r>
          </w:p>
          <w:p w14:paraId="477B6F75" w14:textId="77777777"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C4E4F" w:rsidRPr="00F028F8" w14:paraId="53172E01" w14:textId="77777777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14:paraId="06FA8043" w14:textId="77777777"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INFRASTRUCTURA DE BAZĂ, SOCIALĂ ȘI EDUCAȚIONALĂ</w:t>
            </w:r>
          </w:p>
        </w:tc>
      </w:tr>
      <w:tr w:rsidR="001C4E4F" w:rsidRPr="00F028F8" w14:paraId="25499DE7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B4CC7E3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14:paraId="0B9D1C0C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14:paraId="13388424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43B5A79" w14:textId="77777777" w:rsidR="0072361F" w:rsidRPr="00F028F8" w:rsidRDefault="0072361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bun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ă a tuturor formelor de învățământ, de la preșcolar, la gimnazial și inclusiv liceal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 xml:space="preserve"> </w:t>
            </w:r>
          </w:p>
          <w:p w14:paraId="440A863C" w14:textId="77777777"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ța 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 două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spital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în cadrul teritoriului;</w:t>
            </w:r>
          </w:p>
          <w:p w14:paraId="62CC8110" w14:textId="77777777"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Prezența un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ui număr semnificativ de cabinete medicale de familie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14:paraId="5A8037C6" w14:textId="77777777" w:rsidR="001C4E4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C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didactice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bine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ăti</w:t>
            </w:r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</w:t>
            </w:r>
            <w:proofErr w:type="spellEnd"/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.</w:t>
            </w:r>
          </w:p>
          <w:p w14:paraId="03E89587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</w:p>
          <w:p w14:paraId="0CBD136B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4C9EAC43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Diminuarea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popula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ției școlare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;</w:t>
            </w:r>
          </w:p>
          <w:p w14:paraId="7E436F9C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Distribuție neechilib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rată a elevilor pe săli de clase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14:paraId="7C1DBBBD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Reducerea numărului sălilor de clasă existente în unitățile de învățământ de la nivelul teritoriului;</w:t>
            </w:r>
          </w:p>
          <w:p w14:paraId="1BB83C78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Reducerea</w:t>
            </w:r>
            <w:proofErr w:type="spellEnd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num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ărului de laboratoare școlare din cadrul școlilor din teritoriul GAL;</w:t>
            </w:r>
          </w:p>
          <w:p w14:paraId="05F49659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ăderea numărului de PC-uri deținute de unitățile de învățământ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.</w:t>
            </w:r>
          </w:p>
        </w:tc>
      </w:tr>
      <w:tr w:rsidR="001C4E4F" w:rsidRPr="00F028F8" w14:paraId="626340B5" w14:textId="77777777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A320834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14:paraId="6C71BCC2" w14:textId="77777777"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14:paraId="0735043A" w14:textId="77777777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4B63EB1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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roximitatea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ață</w:t>
            </w:r>
            <w:proofErr w:type="spellEnd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centre</w:t>
            </w:r>
            <w:proofErr w:type="spellEnd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urbane </w:t>
            </w:r>
            <w:proofErr w:type="spellStart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importante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îi asigură accesul al servicii educaționale, sanitare, sociale de calitate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14:paraId="2E8FC519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nțărilor nerambursabile în vederea îmbunătățirii infrastructurii și a serviciilor, ce va conduce la creșterea nivelului calității vieții pentru locuitorii</w:t>
            </w:r>
            <w:r w:rsidR="00A76B52" w:rsidRPr="00F028F8">
              <w:rPr>
                <w:rFonts w:ascii="Trebuchet MS" w:eastAsia="Cambria" w:hAnsi="Trebuchet MS" w:cs="Calibri"/>
                <w:b w:val="0"/>
                <w:i/>
                <w:iCs/>
                <w:color w:val="0000CC"/>
                <w:sz w:val="22"/>
                <w:szCs w:val="22"/>
              </w:rPr>
              <w:t xml:space="preserve"> </w:t>
            </w:r>
            <w:r w:rsidR="00A76B52" w:rsidRPr="00F028F8">
              <w:rPr>
                <w:rFonts w:ascii="Trebuchet MS" w:eastAsia="Cambria" w:hAnsi="Trebuchet MS" w:cs="Calibri"/>
                <w:b w:val="0"/>
                <w:iCs/>
                <w:color w:val="auto"/>
                <w:sz w:val="22"/>
                <w:szCs w:val="22"/>
              </w:rPr>
              <w:t>teritoriului</w:t>
            </w:r>
            <w:r w:rsidRPr="00F028F8">
              <w:rPr>
                <w:rFonts w:ascii="Trebuchet MS" w:eastAsia="Cambria" w:hAnsi="Trebuchet MS" w:cs="Cambria"/>
                <w:b w:val="0"/>
                <w:color w:val="auto"/>
                <w:sz w:val="22"/>
                <w:szCs w:val="22"/>
              </w:rPr>
              <w:t>;</w:t>
            </w:r>
          </w:p>
          <w:p w14:paraId="5C891DC8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tip after-school;</w:t>
            </w:r>
          </w:p>
          <w:p w14:paraId="1348695C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de implicare activă a elevilor în comunitate, prentru responsabilizare și educație civică și în domeniul protecției mediului;</w:t>
            </w:r>
          </w:p>
          <w:p w14:paraId="5BFEB0E2" w14:textId="77777777"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teritoriu.</w:t>
            </w:r>
          </w:p>
        </w:tc>
        <w:tc>
          <w:tcPr>
            <w:tcW w:w="4678" w:type="dxa"/>
          </w:tcPr>
          <w:p w14:paraId="54D4AC5C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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ăderea veniturilor locuitorilor cu efect asupra accesului la serviciile sociale și cele de sănătate;</w:t>
            </w:r>
          </w:p>
          <w:p w14:paraId="7DE53297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ățile de finanțare din cauza slabei capacități de management  de proiect a instituțiilor sociale, educaționale solicitante;</w:t>
            </w:r>
          </w:p>
          <w:p w14:paraId="5CD2BDA5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 Cre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 deficitului forței de muncă calificate datorită proximității de centre urbane</w:t>
            </w:r>
            <w:r w:rsidR="0094039D"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;</w:t>
            </w:r>
          </w:p>
          <w:p w14:paraId="1BC24746" w14:textId="77777777"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 Cre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 abandonului școlar din cauza accesibilității reduse la serviciile de învățământ.</w:t>
            </w:r>
          </w:p>
        </w:tc>
      </w:tr>
    </w:tbl>
    <w:p w14:paraId="17EFD69A" w14:textId="77777777" w:rsidR="001C4E4F" w:rsidRPr="00F028F8" w:rsidRDefault="001C4E4F" w:rsidP="00F028F8">
      <w:pPr>
        <w:spacing w:after="0"/>
        <w:rPr>
          <w:rFonts w:ascii="Trebuchet MS" w:hAnsi="Trebuchet MS"/>
          <w:sz w:val="22"/>
          <w:szCs w:val="22"/>
        </w:rPr>
      </w:pPr>
    </w:p>
    <w:p w14:paraId="670887E4" w14:textId="77777777" w:rsidR="00286E7A" w:rsidRPr="00F028F8" w:rsidRDefault="00286E7A" w:rsidP="00F028F8">
      <w:pPr>
        <w:spacing w:after="0"/>
        <w:contextualSpacing/>
        <w:jc w:val="both"/>
        <w:rPr>
          <w:rFonts w:ascii="Trebuchet MS" w:hAnsi="Trebuchet MS"/>
          <w:sz w:val="22"/>
          <w:szCs w:val="22"/>
        </w:rPr>
      </w:pPr>
    </w:p>
    <w:sectPr w:rsidR="00286E7A" w:rsidRPr="00F028F8" w:rsidSect="000B35E9">
      <w:headerReference w:type="default" r:id="rId8"/>
      <w:footerReference w:type="default" r:id="rId9"/>
      <w:pgSz w:w="12240" w:h="15840"/>
      <w:pgMar w:top="1440" w:right="1440" w:bottom="1440" w:left="1440" w:header="426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A2C" w14:textId="77777777" w:rsidR="00894147" w:rsidRDefault="00894147" w:rsidP="00286E7A">
      <w:pPr>
        <w:spacing w:after="0" w:line="240" w:lineRule="auto"/>
      </w:pPr>
      <w:r>
        <w:separator/>
      </w:r>
    </w:p>
  </w:endnote>
  <w:endnote w:type="continuationSeparator" w:id="0">
    <w:p w14:paraId="42DA2BC7" w14:textId="77777777" w:rsidR="00894147" w:rsidRDefault="00894147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 w14:paraId="1D1FD3CA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76002381" w14:textId="77777777" w:rsidR="00286E7A" w:rsidRPr="0001111E" w:rsidRDefault="00E85CCD" w:rsidP="003048B2">
          <w:pPr>
            <w:pStyle w:val="Footer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</w:t>
          </w:r>
          <w:r w:rsidR="00F028F8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 w:rsidR="00CF696C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Analiza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SWOT (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analiza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punctelor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tari,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punctelor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slabe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oportunităților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și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amenințărilor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7E5EFD14" w14:textId="77777777" w:rsidR="00286E7A" w:rsidRPr="00B21CC3" w:rsidRDefault="00DC6B86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F028F8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5</w: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690CB908" w14:textId="77777777"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ED67" w14:textId="77777777" w:rsidR="00894147" w:rsidRDefault="00894147" w:rsidP="00286E7A">
      <w:pPr>
        <w:spacing w:after="0" w:line="240" w:lineRule="auto"/>
      </w:pPr>
      <w:r>
        <w:separator/>
      </w:r>
    </w:p>
  </w:footnote>
  <w:footnote w:type="continuationSeparator" w:id="0">
    <w:p w14:paraId="5A4832E2" w14:textId="77777777" w:rsidR="00894147" w:rsidRDefault="00894147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2" w:type="pct"/>
      <w:tblLook w:val="04A0" w:firstRow="1" w:lastRow="0" w:firstColumn="1" w:lastColumn="0" w:noHBand="0" w:noVBand="1"/>
    </w:tblPr>
    <w:tblGrid>
      <w:gridCol w:w="5639"/>
      <w:gridCol w:w="3612"/>
    </w:tblGrid>
    <w:tr w:rsidR="00286E7A" w14:paraId="502FCA2B" w14:textId="77777777" w:rsidTr="000B35E9">
      <w:trPr>
        <w:trHeight w:val="475"/>
      </w:trPr>
      <w:tc>
        <w:tcPr>
          <w:tcW w:w="5778" w:type="dxa"/>
          <w:shd w:val="clear" w:color="auto" w:fill="8064A2" w:themeFill="accent4"/>
          <w:vAlign w:val="center"/>
        </w:tcPr>
        <w:p w14:paraId="6105C9E1" w14:textId="77777777" w:rsidR="00286E7A" w:rsidRDefault="00000000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01111E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686" w:type="dxa"/>
          <w:shd w:val="clear" w:color="auto" w:fill="000000" w:themeFill="text1"/>
          <w:vAlign w:val="center"/>
        </w:tcPr>
        <w:p w14:paraId="361EA1BE" w14:textId="77777777" w:rsidR="00286E7A" w:rsidRPr="0001111E" w:rsidRDefault="00CF696C">
          <w:pPr>
            <w:pStyle w:val="Head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546BACC9" w14:textId="77777777" w:rsidR="00286E7A" w:rsidRDefault="00286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2CD1"/>
    <w:multiLevelType w:val="hybridMultilevel"/>
    <w:tmpl w:val="1F2C2452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548"/>
    <w:multiLevelType w:val="hybridMultilevel"/>
    <w:tmpl w:val="5E96FB4E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87F"/>
    <w:multiLevelType w:val="hybridMultilevel"/>
    <w:tmpl w:val="DC16BE68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EF8"/>
    <w:multiLevelType w:val="hybridMultilevel"/>
    <w:tmpl w:val="0F8E0A54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35AD"/>
    <w:multiLevelType w:val="hybridMultilevel"/>
    <w:tmpl w:val="B266AA7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530"/>
    <w:multiLevelType w:val="hybridMultilevel"/>
    <w:tmpl w:val="3F5AE328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58A"/>
    <w:multiLevelType w:val="hybridMultilevel"/>
    <w:tmpl w:val="1BD29DFC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440A"/>
    <w:multiLevelType w:val="hybridMultilevel"/>
    <w:tmpl w:val="D64A576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2844"/>
    <w:multiLevelType w:val="hybridMultilevel"/>
    <w:tmpl w:val="C7EC5A4C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740A"/>
    <w:multiLevelType w:val="hybridMultilevel"/>
    <w:tmpl w:val="C7A80E44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14EF"/>
    <w:multiLevelType w:val="hybridMultilevel"/>
    <w:tmpl w:val="794E020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2A37"/>
    <w:multiLevelType w:val="hybridMultilevel"/>
    <w:tmpl w:val="84C02380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05D90"/>
    <w:multiLevelType w:val="multilevel"/>
    <w:tmpl w:val="317A950C"/>
    <w:lvl w:ilvl="0">
      <w:start w:val="1"/>
      <w:numFmt w:val="bullet"/>
      <w:lvlText w:val="ý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3" w15:restartNumberingAfterBreak="0">
    <w:nsid w:val="7A445A8F"/>
    <w:multiLevelType w:val="multilevel"/>
    <w:tmpl w:val="3B744B58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7E9032DA"/>
    <w:multiLevelType w:val="hybridMultilevel"/>
    <w:tmpl w:val="17E85D0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462416">
    <w:abstractNumId w:val="13"/>
  </w:num>
  <w:num w:numId="2" w16cid:durableId="183329107">
    <w:abstractNumId w:val="12"/>
  </w:num>
  <w:num w:numId="3" w16cid:durableId="1903715400">
    <w:abstractNumId w:val="0"/>
  </w:num>
  <w:num w:numId="4" w16cid:durableId="899830813">
    <w:abstractNumId w:val="2"/>
  </w:num>
  <w:num w:numId="5" w16cid:durableId="888688626">
    <w:abstractNumId w:val="3"/>
  </w:num>
  <w:num w:numId="6" w16cid:durableId="1433282609">
    <w:abstractNumId w:val="11"/>
  </w:num>
  <w:num w:numId="7" w16cid:durableId="261378028">
    <w:abstractNumId w:val="10"/>
  </w:num>
  <w:num w:numId="8" w16cid:durableId="266737602">
    <w:abstractNumId w:val="14"/>
  </w:num>
  <w:num w:numId="9" w16cid:durableId="970288796">
    <w:abstractNumId w:val="9"/>
  </w:num>
  <w:num w:numId="10" w16cid:durableId="2062243411">
    <w:abstractNumId w:val="8"/>
  </w:num>
  <w:num w:numId="11" w16cid:durableId="146017995">
    <w:abstractNumId w:val="6"/>
  </w:num>
  <w:num w:numId="12" w16cid:durableId="401099402">
    <w:abstractNumId w:val="4"/>
  </w:num>
  <w:num w:numId="13" w16cid:durableId="1794053750">
    <w:abstractNumId w:val="5"/>
  </w:num>
  <w:num w:numId="14" w16cid:durableId="864443160">
    <w:abstractNumId w:val="7"/>
  </w:num>
  <w:num w:numId="15" w16cid:durableId="164430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1111E"/>
    <w:rsid w:val="000315A3"/>
    <w:rsid w:val="00070100"/>
    <w:rsid w:val="00075F41"/>
    <w:rsid w:val="000B35E9"/>
    <w:rsid w:val="00122E27"/>
    <w:rsid w:val="00160108"/>
    <w:rsid w:val="001C4E4F"/>
    <w:rsid w:val="001D214F"/>
    <w:rsid w:val="001D4C8D"/>
    <w:rsid w:val="0020430B"/>
    <w:rsid w:val="00240CD2"/>
    <w:rsid w:val="0025406A"/>
    <w:rsid w:val="00286E7A"/>
    <w:rsid w:val="002B0F60"/>
    <w:rsid w:val="002C1E0E"/>
    <w:rsid w:val="002C2AE2"/>
    <w:rsid w:val="00303259"/>
    <w:rsid w:val="003048B2"/>
    <w:rsid w:val="003362F4"/>
    <w:rsid w:val="0039753C"/>
    <w:rsid w:val="003F5336"/>
    <w:rsid w:val="00451965"/>
    <w:rsid w:val="004F4F2A"/>
    <w:rsid w:val="00532609"/>
    <w:rsid w:val="0053441D"/>
    <w:rsid w:val="005D5BFA"/>
    <w:rsid w:val="005D7C67"/>
    <w:rsid w:val="005E5DD3"/>
    <w:rsid w:val="005F6C77"/>
    <w:rsid w:val="006768D9"/>
    <w:rsid w:val="0069160E"/>
    <w:rsid w:val="006C2541"/>
    <w:rsid w:val="0072361F"/>
    <w:rsid w:val="007C4101"/>
    <w:rsid w:val="00802B8E"/>
    <w:rsid w:val="00812A75"/>
    <w:rsid w:val="008405B5"/>
    <w:rsid w:val="00894147"/>
    <w:rsid w:val="008945D7"/>
    <w:rsid w:val="008A1AA0"/>
    <w:rsid w:val="008D0D81"/>
    <w:rsid w:val="0094039D"/>
    <w:rsid w:val="00A402F6"/>
    <w:rsid w:val="00A54213"/>
    <w:rsid w:val="00A550FE"/>
    <w:rsid w:val="00A76B52"/>
    <w:rsid w:val="00A832CA"/>
    <w:rsid w:val="00A9666C"/>
    <w:rsid w:val="00AD1A5B"/>
    <w:rsid w:val="00B21CC3"/>
    <w:rsid w:val="00B22185"/>
    <w:rsid w:val="00B3282E"/>
    <w:rsid w:val="00B40A26"/>
    <w:rsid w:val="00B65284"/>
    <w:rsid w:val="00B8760F"/>
    <w:rsid w:val="00BA5888"/>
    <w:rsid w:val="00BA6F6E"/>
    <w:rsid w:val="00C10B44"/>
    <w:rsid w:val="00C11F67"/>
    <w:rsid w:val="00C41605"/>
    <w:rsid w:val="00C479B6"/>
    <w:rsid w:val="00C91924"/>
    <w:rsid w:val="00CF5653"/>
    <w:rsid w:val="00CF696C"/>
    <w:rsid w:val="00D57672"/>
    <w:rsid w:val="00D72994"/>
    <w:rsid w:val="00D9289C"/>
    <w:rsid w:val="00DB7245"/>
    <w:rsid w:val="00DC149C"/>
    <w:rsid w:val="00DC6B86"/>
    <w:rsid w:val="00E02F21"/>
    <w:rsid w:val="00E85CCD"/>
    <w:rsid w:val="00E9320C"/>
    <w:rsid w:val="00ED1802"/>
    <w:rsid w:val="00F028F8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014A"/>
  <w15:docId w15:val="{75FCBB9C-3FC9-421F-9085-3CD0D539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1C4E4F"/>
    <w:pPr>
      <w:widowControl w:val="0"/>
      <w:spacing w:after="0" w:line="240" w:lineRule="auto"/>
    </w:pPr>
    <w:rPr>
      <w:rFonts w:ascii="Liberation Serif;Times New Roma" w:eastAsia="SimSun;宋体" w:hAnsi="Liberation Serif;Times New Roma" w:cs="Mangal;Courier"/>
      <w:sz w:val="24"/>
      <w:szCs w:val="24"/>
      <w:lang w:val="ro-RO" w:eastAsia="zh-CN" w:bidi="hi-IN"/>
    </w:rPr>
  </w:style>
  <w:style w:type="table" w:styleId="MediumShading1-Accent4">
    <w:name w:val="Medium Shading 1 Accent 4"/>
    <w:basedOn w:val="TableNormal"/>
    <w:uiPriority w:val="63"/>
    <w:rsid w:val="008D0D8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D0D8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722D-1BE5-4F01-BB80-74899F8A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2016-04-26T21:08:00Z</cp:lastPrinted>
  <dcterms:created xsi:type="dcterms:W3CDTF">2023-02-09T14:27:00Z</dcterms:created>
  <dcterms:modified xsi:type="dcterms:W3CDTF">2023-02-09T14:27:00Z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