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948B" w14:textId="77777777" w:rsidR="00286E7A" w:rsidRPr="006F352B" w:rsidRDefault="00CF696C" w:rsidP="006F352B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587BCE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II. COMPONENȚA PARTENERIATULUI</w:t>
      </w:r>
    </w:p>
    <w:p w14:paraId="67974DEB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2.1.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Componența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parteneriatului</w:t>
      </w:r>
      <w:proofErr w:type="spellEnd"/>
    </w:p>
    <w:p w14:paraId="32951DC4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0" w:name="__DdeLink__22473_626166561462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A402F6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format din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0 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de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autorități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locale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17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60E3E"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și 2 orașe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Gorj,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Mehedinți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),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6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operatori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economici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cu sediul social/punctul de lucru în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entități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reprezintă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o persoană fizică relevantă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, cu domiciliul în teritoriu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Procentele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sectoarelor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sunt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33,33%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60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sectorului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5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reprezentanții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civile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 persoane fizice relevante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(cu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respectarea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criteriului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eligibilitate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,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acesta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fiind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constituit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peste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51%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</w:t>
      </w:r>
      <w:r w:rsidRPr="006F352B">
        <w:rPr>
          <w:rFonts w:ascii="Trebuchet MS" w:hAnsi="Trebuchet MS" w:cs="Arial"/>
          <w:color w:val="000000"/>
          <w:sz w:val="22"/>
          <w:szCs w:val="22"/>
        </w:rPr>
        <w:t>)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reprezentanți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societă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ții civile, procentul persoanelor fizice fiind de maxim 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1,67%)</w:t>
      </w:r>
      <w:r w:rsidRPr="006F352B">
        <w:rPr>
          <w:rFonts w:ascii="Trebuchet MS" w:hAnsi="Trebuchet MS" w:cs="Arial"/>
          <w:b/>
          <w:bCs/>
          <w:color w:val="666666"/>
          <w:sz w:val="22"/>
          <w:szCs w:val="22"/>
          <w:lang w:val="ro-RO"/>
        </w:rPr>
        <w:t xml:space="preserve">, </w:t>
      </w:r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entitățile provenite din meiul urban reprezentând maxim 25%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(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3,33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%)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p w14:paraId="1DA3C98A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După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rezultă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reținute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sus,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</w:t>
      </w:r>
      <w:r w:rsidRPr="006F352B">
        <w:rPr>
          <w:rFonts w:ascii="Trebuchet MS" w:hAnsi="Trebuchet MS"/>
          <w:sz w:val="22"/>
          <w:szCs w:val="22"/>
        </w:rPr>
        <w:t>arteneriatul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este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caracterizat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plusvaloare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întrucât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are la </w:t>
      </w:r>
      <w:proofErr w:type="spellStart"/>
      <w:r w:rsidRPr="006F352B">
        <w:rPr>
          <w:rFonts w:ascii="Trebuchet MS" w:hAnsi="Trebuchet MS"/>
          <w:sz w:val="22"/>
          <w:szCs w:val="22"/>
        </w:rPr>
        <w:t>bază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mobilizarea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unor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actori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diverși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interes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(</w:t>
      </w:r>
      <w:r w:rsidRPr="006F352B">
        <w:rPr>
          <w:rFonts w:ascii="Trebuchet MS" w:hAnsi="Trebuchet MS"/>
          <w:i/>
          <w:iCs/>
          <w:sz w:val="22"/>
          <w:szCs w:val="22"/>
        </w:rPr>
        <w:t xml:space="preserve">public,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societatea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civilă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6F352B">
        <w:rPr>
          <w:rFonts w:ascii="Trebuchet MS" w:hAnsi="Trebuchet MS"/>
          <w:i/>
          <w:iCs/>
          <w:sz w:val="22"/>
          <w:szCs w:val="22"/>
          <w:lang w:val="ro-RO"/>
        </w:rPr>
        <w:t>persoane fizice relevante</w:t>
      </w:r>
      <w:r w:rsidRPr="006F352B">
        <w:rPr>
          <w:rFonts w:ascii="Trebuchet MS" w:hAnsi="Trebuchet MS"/>
          <w:sz w:val="22"/>
          <w:szCs w:val="22"/>
        </w:rPr>
        <w:t xml:space="preserve">), 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cu o </w:t>
      </w:r>
      <w:r w:rsidRPr="006F352B">
        <w:rPr>
          <w:rFonts w:ascii="Trebuchet MS" w:hAnsi="Trebuchet MS"/>
          <w:b/>
          <w:bCs/>
          <w:sz w:val="22"/>
          <w:szCs w:val="22"/>
          <w:lang w:val="ro-RO"/>
        </w:rPr>
        <w:t>reprezentare echilibrată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 a grupurilor de interes economic de la nivelul teritoriului</w:t>
      </w:r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nefiind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dominat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6F352B">
        <w:rPr>
          <w:rFonts w:ascii="Trebuchet MS" w:hAnsi="Trebuchet MS"/>
          <w:sz w:val="22"/>
          <w:szCs w:val="22"/>
        </w:rPr>
        <w:t>singur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grup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fiecare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sector </w:t>
      </w:r>
      <w:proofErr w:type="spellStart"/>
      <w:r w:rsidRPr="006F352B">
        <w:rPr>
          <w:rFonts w:ascii="Trebuchet MS" w:hAnsi="Trebuchet MS"/>
          <w:sz w:val="22"/>
          <w:szCs w:val="22"/>
        </w:rPr>
        <w:t>având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6F352B">
        <w:rPr>
          <w:rFonts w:ascii="Trebuchet MS" w:hAnsi="Trebuchet MS"/>
          <w:sz w:val="22"/>
          <w:szCs w:val="22"/>
        </w:rPr>
        <w:t>reprezentare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semnificativă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asocierii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</w:p>
    <w:p w14:paraId="2F7764BD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Analiza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componenței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relevă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îndeplinirea</w:t>
      </w:r>
      <w:bookmarkStart w:id="1" w:name="__DdeLink__6927_720968763"/>
      <w:proofErr w:type="spellEnd"/>
      <w:r w:rsidR="00F050C3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2.1</w:t>
      </w:r>
      <w:r w:rsidRPr="006F352B">
        <w:rPr>
          <w:rFonts w:ascii="Trebuchet MS" w:hAnsi="Trebuchet MS"/>
          <w:color w:val="9966CC"/>
          <w:sz w:val="22"/>
          <w:szCs w:val="22"/>
        </w:rPr>
        <w:t>.</w:t>
      </w:r>
      <w:bookmarkEnd w:id="1"/>
      <w:r w:rsidRPr="006F352B">
        <w:rPr>
          <w:rFonts w:ascii="Trebuchet MS" w:hAnsi="Trebuchet MS"/>
          <w:color w:val="9966CC"/>
          <w:sz w:val="22"/>
          <w:szCs w:val="22"/>
        </w:rPr>
        <w:t>,</w:t>
      </w:r>
      <w:r w:rsidR="00BA3C99" w:rsidRPr="006F352B">
        <w:rPr>
          <w:rFonts w:ascii="Trebuchet MS" w:hAnsi="Trebuchet MS"/>
          <w:color w:val="9966CC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privați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civile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(inclusiv persoane fizice relevante)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depășind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65%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66,67%).</w:t>
      </w:r>
    </w:p>
    <w:p w14:paraId="12606394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Parteneriatul cuprinde o organizație non-guvernamentală care reprezintă i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nteresele unei minorități locale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la nivelul teritoriului, respectiv 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>minoritatea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ce este prezentă în 9 din cele 20 de localități componente (492 persoane</w:t>
      </w:r>
      <w:r w:rsidR="00927823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etnie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), îndeplinind astfel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2.2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  <w:r w:rsidR="00F050C3" w:rsidRPr="006F352B">
        <w:rPr>
          <w:rFonts w:ascii="Trebuchet MS" w:hAnsi="Trebuchet MS"/>
          <w:color w:val="9966CC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Asociația „</w:t>
      </w: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JEKJ PASAVEL SAM ZURALE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”,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cu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sediul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 xml:space="preserve"> î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n cadrul teritoriului GAL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,</w:t>
      </w:r>
      <w:r w:rsidR="006A13BE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constituită juridic anterior lansării apelului de selecție a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SDL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</w:t>
      </w:r>
      <w:r w:rsidR="001745BD" w:rsidRPr="006F352B">
        <w:rPr>
          <w:rFonts w:ascii="Trebuchet MS" w:hAnsi="Trebuchet MS"/>
          <w:color w:val="000000"/>
          <w:sz w:val="22"/>
          <w:szCs w:val="22"/>
          <w:lang w:val="ro-RO"/>
        </w:rPr>
        <w:t>18.04.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200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), reprezintă</w:t>
      </w:r>
      <w:r w:rsidR="00EF1854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interesele populației rome,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având următoarele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: “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revitalizarea tradițiilor culturale ale etniei rome;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participarea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ș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i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măsuri</w:t>
      </w:r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reducere a șomajului și reintegrare socială a romilor;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inițiativelor de dezvoltare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socio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-economică a comunităților rome.</w:t>
      </w:r>
      <w:r w:rsidRPr="006F352B">
        <w:rPr>
          <w:rFonts w:ascii="Trebuchet MS" w:hAnsi="Trebuchet MS"/>
          <w:color w:val="000000"/>
          <w:sz w:val="22"/>
          <w:szCs w:val="22"/>
        </w:rPr>
        <w:t>”</w:t>
      </w:r>
    </w:p>
    <w:p w14:paraId="16D8F218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, cu sediul în teritoriu, constituită juridic anterior lansării apelului de selecție (10.04.2001), reprezintă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interesele tinerilor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prin derularea de „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 xml:space="preserve">programe pentru susținerea și ajutorarea (...) minorilor fără familie;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Colaborarea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cooperarea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>și realizarea de parteneriate cu (...) instituțiile de tineret.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” Astfel, parteneriatul atinge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2.3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</w:p>
    <w:p w14:paraId="1BCC4795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2" w:name="__DdeLink__22473_6261665614625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2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F050C3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cuprinde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organizații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domeniul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protecției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acoperit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constituite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juridic anterior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ecologi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că și promovarea unor programe de amenajare și ecologizare a unor zone și suprafețe de teren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”;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protejării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naturii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îndeplinind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2.5.</w:t>
      </w:r>
    </w:p>
    <w:p w14:paraId="06E2CFD6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există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o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formă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asociativă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recunoscută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legislației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vigoare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cu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GAL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constituită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juridic anterior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(30.12.2013), cu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într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-un </w:t>
      </w:r>
      <w:proofErr w:type="spellStart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>domeniu</w:t>
      </w:r>
      <w:proofErr w:type="spellEnd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 xml:space="preserve"> relevant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lastRenderedPageBreak/>
        <w:t>pentru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teritoriu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respectiv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>agricultura</w:t>
      </w:r>
      <w:proofErr w:type="spellEnd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  <w:lang w:val="ro-RO"/>
        </w:rPr>
        <w:t xml:space="preserve">contribuind astfel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la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îndeplinirea</w:t>
      </w:r>
      <w:proofErr w:type="spellEnd"/>
      <w:r w:rsidR="006163B7"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2.6.</w:t>
      </w:r>
      <w:r w:rsidR="00F050C3"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aceasta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are ca scop </w:t>
      </w:r>
      <w:proofErr w:type="gram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„(</w:t>
      </w:r>
      <w:proofErr w:type="gram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…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)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creșterea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(...).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solidarității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producătorilor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–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bovine, ovine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caprine (...).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</w:p>
    <w:p w14:paraId="464BFAC4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teritoriului</w:t>
      </w:r>
      <w:proofErr w:type="spellEnd"/>
    </w:p>
    <w:p w14:paraId="6BE0099E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2.2.1.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ansamblul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activităților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desfășurate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curent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urmărește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obținerea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prosperității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bunăstării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crearea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mediu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favorabil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concomitent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integrarea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grupurilor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vulnerabile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atitudini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dinamice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pozitive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față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problemele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14:paraId="0CDDD921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sz w:val="22"/>
          <w:szCs w:val="22"/>
        </w:rPr>
        <w:t>își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dovedesc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inițierea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coordonarea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6F352B">
        <w:rPr>
          <w:rFonts w:ascii="Trebuchet MS" w:hAnsi="Trebuchet MS"/>
          <w:sz w:val="22"/>
          <w:szCs w:val="22"/>
        </w:rPr>
        <w:t>a</w:t>
      </w:r>
      <w:proofErr w:type="gram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serviciilor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 xml:space="preserve">locale,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satisface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influenței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majorare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pe care o </w:t>
      </w:r>
      <w:proofErr w:type="spellStart"/>
      <w:r w:rsidRPr="006F352B">
        <w:rPr>
          <w:rFonts w:ascii="Trebuchet MS" w:hAnsi="Trebuchet MS"/>
          <w:sz w:val="22"/>
          <w:szCs w:val="22"/>
        </w:rPr>
        <w:t>dețin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factori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decizionali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alocă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bugetele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susținerii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cadrul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strategiei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locală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sunt direct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interesați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implicați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îmbunătățirii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servicilor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urmare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realizării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investiții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satisfacă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nevoile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generale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condiţii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eficienţă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14:paraId="35DF7BAA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2.2.2.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>se</w:t>
      </w:r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respectiv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contribuției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creşterea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şi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generarea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locuri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muncă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creează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resurse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materiale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menite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îmbunătăţi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vieţii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întregii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privește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acesta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 traduce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nevoia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a-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afacerile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proprii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sz w:val="22"/>
          <w:szCs w:val="22"/>
        </w:rPr>
        <w:t>finanțare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europeană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</w:t>
      </w:r>
      <w:r w:rsidR="007B7582" w:rsidRPr="006F352B">
        <w:rPr>
          <w:rFonts w:ascii="Trebuchet MS" w:hAnsi="Trebuchet MS"/>
          <w:sz w:val="22"/>
          <w:szCs w:val="22"/>
        </w:rPr>
        <w:t>in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intermediul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Grupului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Acțiune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L</w:t>
      </w:r>
      <w:r w:rsidRPr="006F352B">
        <w:rPr>
          <w:rFonts w:ascii="Trebuchet MS" w:hAnsi="Trebuchet MS"/>
          <w:sz w:val="22"/>
          <w:szCs w:val="22"/>
        </w:rPr>
        <w:t>ocală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asigura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sustenabilitatea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cofinanțarea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private a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rezultă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faptul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majoritatea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desfășoară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domen</w:t>
      </w:r>
      <w:r w:rsidR="007B7582" w:rsidRPr="006F352B">
        <w:rPr>
          <w:rFonts w:ascii="Trebuchet MS" w:hAnsi="Trebuchet MS"/>
          <w:sz w:val="22"/>
          <w:szCs w:val="22"/>
        </w:rPr>
        <w:t>iile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relevante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pentru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teritoriu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oferind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etapa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planificare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inputurile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necesităților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aferente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activitate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</w:p>
    <w:p w14:paraId="5997F6D5" w14:textId="77777777"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2.2.3.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însăși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natura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are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principale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susținerea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joacă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un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rol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important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mobilizarea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sporirea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dialogului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cetățeni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elaborării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unor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posibile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stimularea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potențialilor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beneficiari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asistarea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transforme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eligibile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S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trategiei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D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ezvoltare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L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ocală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acest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menționat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faptul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majoritatea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asociațiilor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formare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consiliere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stipulate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expres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consultan</w:t>
      </w:r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ță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, informare, instruire și alte forme de sprijin pentru membrii comunității locale, precum și pentru întreprinzătorii privați.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are ca scop „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facilitarea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informații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ultimă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oră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realizarea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persoanele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juridice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drept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fără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scop patrimonial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guvernamentale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neguvernamentale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.</w:t>
      </w:r>
    </w:p>
    <w:sectPr w:rsidR="00286E7A" w:rsidRPr="006F352B" w:rsidSect="00F050C3">
      <w:headerReference w:type="default" r:id="rId7"/>
      <w:footerReference w:type="default" r:id="rId8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C125" w14:textId="77777777" w:rsidR="007C24CC" w:rsidRDefault="007C24CC" w:rsidP="00286E7A">
      <w:pPr>
        <w:spacing w:after="0" w:line="240" w:lineRule="auto"/>
      </w:pPr>
      <w:r>
        <w:separator/>
      </w:r>
    </w:p>
  </w:endnote>
  <w:endnote w:type="continuationSeparator" w:id="0">
    <w:p w14:paraId="081DD4CC" w14:textId="77777777" w:rsidR="007C24CC" w:rsidRDefault="007C24CC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 w14:paraId="226E5A14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4DC2370E" w14:textId="77777777" w:rsidR="00286E7A" w:rsidRPr="00587BCE" w:rsidRDefault="00CF696C">
          <w:pPr>
            <w:pStyle w:val="Footer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II: </w:t>
          </w:r>
          <w:proofErr w:type="spellStart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Componența</w:t>
          </w:r>
          <w:proofErr w:type="spellEnd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587BCE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parteneriatului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2EC6F9EA" w14:textId="77777777" w:rsidR="00286E7A" w:rsidRPr="00F050C3" w:rsidRDefault="00AD3406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6F352B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1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7E828375" w14:textId="77777777"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BA81" w14:textId="77777777" w:rsidR="007C24CC" w:rsidRDefault="007C24CC" w:rsidP="00286E7A">
      <w:pPr>
        <w:spacing w:after="0" w:line="240" w:lineRule="auto"/>
      </w:pPr>
      <w:r>
        <w:separator/>
      </w:r>
    </w:p>
  </w:footnote>
  <w:footnote w:type="continuationSeparator" w:id="0">
    <w:p w14:paraId="016449C6" w14:textId="77777777" w:rsidR="007C24CC" w:rsidRDefault="007C24CC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ook w:val="04A0" w:firstRow="1" w:lastRow="0" w:firstColumn="1" w:lastColumn="0" w:noHBand="0" w:noVBand="1"/>
    </w:tblPr>
    <w:tblGrid>
      <w:gridCol w:w="6052"/>
      <w:gridCol w:w="3027"/>
    </w:tblGrid>
    <w:tr w:rsidR="00286E7A" w14:paraId="0AFADFA8" w14:textId="77777777">
      <w:trPr>
        <w:trHeight w:val="475"/>
      </w:trPr>
      <w:tc>
        <w:tcPr>
          <w:tcW w:w="6051" w:type="dxa"/>
          <w:shd w:val="clear" w:color="auto" w:fill="8064A2" w:themeFill="accent4"/>
          <w:vAlign w:val="center"/>
        </w:tcPr>
        <w:p w14:paraId="51690ABE" w14:textId="77777777" w:rsidR="00286E7A" w:rsidRDefault="00000000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CF696C" w:rsidRPr="00587BCE">
                <w:rPr>
                  <w:rFonts w:ascii="Trebuchet MS" w:hAnsi="Trebuchet MS"/>
                  <w:b/>
                  <w:caps/>
                  <w:color w:val="FFFFFF" w:themeColor="background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027" w:type="dxa"/>
          <w:shd w:val="clear" w:color="auto" w:fill="000000" w:themeFill="text1"/>
          <w:vAlign w:val="center"/>
        </w:tcPr>
        <w:p w14:paraId="45CE00A0" w14:textId="77777777" w:rsidR="00286E7A" w:rsidRPr="00587BCE" w:rsidRDefault="00CF696C">
          <w:pPr>
            <w:pStyle w:val="Head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587BCE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5562E83A" w14:textId="77777777" w:rsidR="00286E7A" w:rsidRDefault="00286E7A" w:rsidP="00F05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61E19"/>
    <w:rsid w:val="000E1E81"/>
    <w:rsid w:val="001745BD"/>
    <w:rsid w:val="0021536B"/>
    <w:rsid w:val="00286E7A"/>
    <w:rsid w:val="003C1E1A"/>
    <w:rsid w:val="00587BCE"/>
    <w:rsid w:val="005F6B92"/>
    <w:rsid w:val="006163B7"/>
    <w:rsid w:val="006A13BE"/>
    <w:rsid w:val="006F352B"/>
    <w:rsid w:val="007B7582"/>
    <w:rsid w:val="007C24CC"/>
    <w:rsid w:val="008409DB"/>
    <w:rsid w:val="00927823"/>
    <w:rsid w:val="00A402F6"/>
    <w:rsid w:val="00A56D68"/>
    <w:rsid w:val="00AD3406"/>
    <w:rsid w:val="00B17A5A"/>
    <w:rsid w:val="00B451EA"/>
    <w:rsid w:val="00BA3C99"/>
    <w:rsid w:val="00C436EF"/>
    <w:rsid w:val="00CF696C"/>
    <w:rsid w:val="00E00672"/>
    <w:rsid w:val="00E60E3E"/>
    <w:rsid w:val="00EF1854"/>
    <w:rsid w:val="00F020C9"/>
    <w:rsid w:val="00F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CD0D"/>
  <w15:docId w15:val="{470F38EE-6477-412F-A748-79189CFD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C428-81D6-4E0A-9FCD-B23F6D53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2016-04-26T12:07:00Z</cp:lastPrinted>
  <dcterms:created xsi:type="dcterms:W3CDTF">2023-02-09T14:26:00Z</dcterms:created>
  <dcterms:modified xsi:type="dcterms:W3CDTF">2023-02-09T14:26:00Z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